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BDC5" w14:textId="77777777" w:rsidR="00747691" w:rsidRPr="00FE4FBD" w:rsidRDefault="00B20177">
      <w:pPr>
        <w:pStyle w:val="NormalCenterBold"/>
        <w:rPr>
          <w:rFonts w:asciiTheme="minorHAnsi" w:hAnsiTheme="minorHAnsi" w:cstheme="minorHAnsi"/>
        </w:rPr>
      </w:pPr>
      <w:r w:rsidRPr="00FE4FBD">
        <w:rPr>
          <w:rFonts w:asciiTheme="minorHAnsi" w:hAnsiTheme="minorHAnsi" w:cstheme="minorHAnsi"/>
        </w:rPr>
        <w:t xml:space="preserve">Notice of </w:t>
      </w:r>
      <w:bookmarkStart w:id="0" w:name="_GoBack"/>
      <w:bookmarkEnd w:id="0"/>
      <w:r w:rsidRPr="00FE4FBD">
        <w:rPr>
          <w:rFonts w:asciiTheme="minorHAnsi" w:hAnsiTheme="minorHAnsi" w:cstheme="minorHAnsi"/>
        </w:rPr>
        <w:t>Public Hearing</w:t>
      </w:r>
      <w:r w:rsidR="00656B4C" w:rsidRPr="00FE4FBD">
        <w:rPr>
          <w:rFonts w:asciiTheme="minorHAnsi" w:hAnsiTheme="minorHAnsi" w:cstheme="minorHAnsi"/>
        </w:rPr>
        <w:t xml:space="preserve"> </w:t>
      </w:r>
    </w:p>
    <w:p w14:paraId="39E316CB" w14:textId="77777777" w:rsidR="00747691" w:rsidRPr="00FE4FBD" w:rsidRDefault="00B20177" w:rsidP="008E51D9">
      <w:pPr>
        <w:pStyle w:val="ParaNORMAL"/>
        <w:rPr>
          <w:rFonts w:asciiTheme="minorHAnsi" w:hAnsiTheme="minorHAnsi" w:cstheme="minorHAnsi"/>
        </w:rPr>
      </w:pPr>
      <w:r w:rsidRPr="00FE4FBD">
        <w:rPr>
          <w:rFonts w:asciiTheme="minorHAnsi" w:hAnsiTheme="minorHAnsi" w:cstheme="minorHAnsi"/>
          <w:smallCaps/>
        </w:rPr>
        <w:t>Notice is hereby given</w:t>
      </w:r>
      <w:r w:rsidRPr="00FE4FBD">
        <w:rPr>
          <w:rFonts w:asciiTheme="minorHAnsi" w:hAnsiTheme="minorHAnsi" w:cstheme="minorHAnsi"/>
        </w:rPr>
        <w:t xml:space="preserve"> that </w:t>
      </w:r>
      <w:r w:rsidR="008F4011" w:rsidRPr="00FE4FBD">
        <w:rPr>
          <w:rFonts w:asciiTheme="minorHAnsi" w:hAnsiTheme="minorHAnsi" w:cstheme="minorHAnsi"/>
        </w:rPr>
        <w:t xml:space="preserve">the </w:t>
      </w:r>
      <w:r w:rsidR="00E07EA0" w:rsidRPr="00FE4FBD">
        <w:rPr>
          <w:rFonts w:asciiTheme="minorHAnsi" w:hAnsiTheme="minorHAnsi" w:cstheme="minorHAnsi"/>
          <w:smallCaps/>
        </w:rPr>
        <w:t>Brevard</w:t>
      </w:r>
      <w:r w:rsidR="003B32E4" w:rsidRPr="00FE4FBD">
        <w:rPr>
          <w:rFonts w:asciiTheme="minorHAnsi" w:hAnsiTheme="minorHAnsi" w:cstheme="minorHAnsi"/>
          <w:smallCaps/>
        </w:rPr>
        <w:t xml:space="preserve"> County Health Facilities Authority</w:t>
      </w:r>
      <w:r w:rsidR="003B32E4" w:rsidRPr="00FE4FBD">
        <w:rPr>
          <w:rFonts w:asciiTheme="minorHAnsi" w:hAnsiTheme="minorHAnsi" w:cstheme="minorHAnsi"/>
        </w:rPr>
        <w:t xml:space="preserve"> (the “Authority”) will </w:t>
      </w:r>
      <w:r w:rsidR="004C6F20" w:rsidRPr="00FE4FBD">
        <w:rPr>
          <w:rFonts w:asciiTheme="minorHAnsi" w:hAnsiTheme="minorHAnsi" w:cstheme="minorHAnsi"/>
        </w:rPr>
        <w:t xml:space="preserve">hold a public hearing at 11:00 a.m. local time on Monday, February 21, 2022 </w:t>
      </w:r>
      <w:r w:rsidR="003B32E4" w:rsidRPr="00FE4FBD">
        <w:rPr>
          <w:rFonts w:asciiTheme="minorHAnsi" w:hAnsiTheme="minorHAnsi" w:cstheme="minorHAnsi"/>
        </w:rPr>
        <w:t xml:space="preserve">in </w:t>
      </w:r>
      <w:r w:rsidR="00E07EA0" w:rsidRPr="00FE4FBD">
        <w:rPr>
          <w:rFonts w:asciiTheme="minorHAnsi" w:hAnsiTheme="minorHAnsi" w:cstheme="minorHAnsi"/>
        </w:rPr>
        <w:t xml:space="preserve">the Lecture </w:t>
      </w:r>
      <w:r w:rsidR="003B32E4" w:rsidRPr="00FE4FBD">
        <w:rPr>
          <w:rFonts w:asciiTheme="minorHAnsi" w:hAnsiTheme="minorHAnsi" w:cstheme="minorHAnsi"/>
        </w:rPr>
        <w:t>Room</w:t>
      </w:r>
      <w:r w:rsidR="003B32E4" w:rsidRPr="00FE4FBD">
        <w:rPr>
          <w:rFonts w:asciiTheme="minorHAnsi" w:hAnsiTheme="minorHAnsi" w:cstheme="minorHAnsi"/>
          <w:b/>
          <w:bCs/>
        </w:rPr>
        <w:t xml:space="preserve"> </w:t>
      </w:r>
      <w:r w:rsidR="003B32E4" w:rsidRPr="00FE4FBD">
        <w:rPr>
          <w:rFonts w:asciiTheme="minorHAnsi" w:hAnsiTheme="minorHAnsi" w:cstheme="minorHAnsi"/>
        </w:rPr>
        <w:t xml:space="preserve">at the </w:t>
      </w:r>
      <w:r w:rsidR="00E07EA0" w:rsidRPr="00FE4FBD">
        <w:rPr>
          <w:rFonts w:asciiTheme="minorHAnsi" w:hAnsiTheme="minorHAnsi" w:cstheme="minorHAnsi"/>
        </w:rPr>
        <w:t>Brevard</w:t>
      </w:r>
      <w:r w:rsidR="003B32E4" w:rsidRPr="00FE4FBD">
        <w:rPr>
          <w:rFonts w:asciiTheme="minorHAnsi" w:hAnsiTheme="minorHAnsi" w:cstheme="minorHAnsi"/>
        </w:rPr>
        <w:t xml:space="preserve"> County </w:t>
      </w:r>
      <w:r w:rsidR="00E07EA0" w:rsidRPr="00FE4FBD">
        <w:rPr>
          <w:rFonts w:asciiTheme="minorHAnsi" w:hAnsiTheme="minorHAnsi" w:cstheme="minorHAnsi"/>
        </w:rPr>
        <w:t>Agricultural</w:t>
      </w:r>
      <w:r w:rsidR="003B32E4" w:rsidRPr="00FE4FBD">
        <w:rPr>
          <w:rFonts w:asciiTheme="minorHAnsi" w:hAnsiTheme="minorHAnsi" w:cstheme="minorHAnsi"/>
        </w:rPr>
        <w:t xml:space="preserve"> Center, </w:t>
      </w:r>
      <w:r w:rsidR="00E07EA0" w:rsidRPr="00FE4FBD">
        <w:rPr>
          <w:rFonts w:asciiTheme="minorHAnsi" w:hAnsiTheme="minorHAnsi" w:cstheme="minorHAnsi"/>
        </w:rPr>
        <w:t>3695 Lake Drive</w:t>
      </w:r>
      <w:r w:rsidR="003B32E4" w:rsidRPr="00FE4FBD">
        <w:rPr>
          <w:rFonts w:asciiTheme="minorHAnsi" w:hAnsiTheme="minorHAnsi" w:cstheme="minorHAnsi"/>
        </w:rPr>
        <w:t xml:space="preserve">, </w:t>
      </w:r>
      <w:r w:rsidR="00E07EA0" w:rsidRPr="00FE4FBD">
        <w:rPr>
          <w:rFonts w:asciiTheme="minorHAnsi" w:hAnsiTheme="minorHAnsi" w:cstheme="minorHAnsi"/>
        </w:rPr>
        <w:t>Cocoa</w:t>
      </w:r>
      <w:r w:rsidR="003B32E4" w:rsidRPr="00FE4FBD">
        <w:rPr>
          <w:rFonts w:asciiTheme="minorHAnsi" w:hAnsiTheme="minorHAnsi" w:cstheme="minorHAnsi"/>
        </w:rPr>
        <w:t>, Florida</w:t>
      </w:r>
      <w:r w:rsidR="004C6F20" w:rsidRPr="00FE4FBD">
        <w:rPr>
          <w:rFonts w:asciiTheme="minorHAnsi" w:hAnsiTheme="minorHAnsi" w:cstheme="minorHAnsi"/>
        </w:rPr>
        <w:t xml:space="preserve">.  The public hearing will be held with respect to a plan by the Authority to issue its </w:t>
      </w:r>
      <w:r w:rsidR="00E07EA0" w:rsidRPr="00FE4FBD">
        <w:rPr>
          <w:rFonts w:asciiTheme="minorHAnsi" w:hAnsiTheme="minorHAnsi" w:cstheme="minorHAnsi"/>
        </w:rPr>
        <w:t>Brevard</w:t>
      </w:r>
      <w:r w:rsidR="00ED5C16" w:rsidRPr="00FE4FBD">
        <w:rPr>
          <w:rFonts w:asciiTheme="minorHAnsi" w:hAnsiTheme="minorHAnsi" w:cstheme="minorHAnsi"/>
        </w:rPr>
        <w:t xml:space="preserve"> County Health Facilities Authority</w:t>
      </w:r>
      <w:r w:rsidRPr="00FE4FBD">
        <w:rPr>
          <w:rFonts w:asciiTheme="minorHAnsi" w:hAnsiTheme="minorHAnsi" w:cstheme="minorHAnsi"/>
        </w:rPr>
        <w:t xml:space="preserve"> Hospital Revenue Bonds (Health</w:t>
      </w:r>
      <w:r w:rsidR="00E07EA0" w:rsidRPr="00FE4FBD">
        <w:rPr>
          <w:rFonts w:asciiTheme="minorHAnsi" w:hAnsiTheme="minorHAnsi" w:cstheme="minorHAnsi"/>
        </w:rPr>
        <w:t xml:space="preserve"> First</w:t>
      </w:r>
      <w:r w:rsidRPr="00FE4FBD">
        <w:rPr>
          <w:rFonts w:asciiTheme="minorHAnsi" w:hAnsiTheme="minorHAnsi" w:cstheme="minorHAnsi"/>
        </w:rPr>
        <w:t xml:space="preserve"> Obligated Group) in one or more series</w:t>
      </w:r>
      <w:r w:rsidR="00D854A8" w:rsidRPr="00FE4FBD">
        <w:rPr>
          <w:rFonts w:asciiTheme="minorHAnsi" w:hAnsiTheme="minorHAnsi" w:cstheme="minorHAnsi"/>
        </w:rPr>
        <w:t xml:space="preserve"> over the longest period permitted by law</w:t>
      </w:r>
      <w:r w:rsidRPr="00FE4FBD">
        <w:rPr>
          <w:rFonts w:asciiTheme="minorHAnsi" w:hAnsiTheme="minorHAnsi" w:cstheme="minorHAnsi"/>
        </w:rPr>
        <w:t xml:space="preserve"> and in an aggregate principal amount not to exceed </w:t>
      </w:r>
      <w:r w:rsidR="00EC66DB" w:rsidRPr="00FE4FBD">
        <w:rPr>
          <w:rFonts w:asciiTheme="minorHAnsi" w:hAnsiTheme="minorHAnsi" w:cstheme="minorHAnsi"/>
        </w:rPr>
        <w:t>$750,000,000</w:t>
      </w:r>
      <w:r w:rsidR="00ED5C16" w:rsidRPr="00FE4FBD">
        <w:rPr>
          <w:rFonts w:asciiTheme="minorHAnsi" w:hAnsiTheme="minorHAnsi" w:cstheme="minorHAnsi"/>
        </w:rPr>
        <w:t xml:space="preserve"> (the “Bonds”)</w:t>
      </w:r>
      <w:r w:rsidRPr="00FE4FBD">
        <w:rPr>
          <w:rFonts w:asciiTheme="minorHAnsi" w:hAnsiTheme="minorHAnsi" w:cstheme="minorHAnsi"/>
        </w:rPr>
        <w:t xml:space="preserve">.  The proceeds of the Bonds will be loaned to </w:t>
      </w:r>
      <w:r w:rsidR="00E07EA0" w:rsidRPr="00FE4FBD">
        <w:rPr>
          <w:rFonts w:asciiTheme="minorHAnsi" w:hAnsiTheme="minorHAnsi" w:cstheme="minorHAnsi"/>
        </w:rPr>
        <w:t>one or more of the following Florida not-for-profit corporations: (i) Health First Shared Services</w:t>
      </w:r>
      <w:r w:rsidRPr="00FE4FBD">
        <w:rPr>
          <w:rFonts w:asciiTheme="minorHAnsi" w:hAnsiTheme="minorHAnsi" w:cstheme="minorHAnsi"/>
        </w:rPr>
        <w:t>, Inc., (“Health</w:t>
      </w:r>
      <w:r w:rsidR="00E07EA0" w:rsidRPr="00FE4FBD">
        <w:rPr>
          <w:rFonts w:asciiTheme="minorHAnsi" w:hAnsiTheme="minorHAnsi" w:cstheme="minorHAnsi"/>
        </w:rPr>
        <w:t xml:space="preserve"> First</w:t>
      </w:r>
      <w:r w:rsidRPr="00FE4FBD">
        <w:rPr>
          <w:rFonts w:asciiTheme="minorHAnsi" w:hAnsiTheme="minorHAnsi" w:cstheme="minorHAnsi"/>
        </w:rPr>
        <w:t>”)</w:t>
      </w:r>
      <w:r w:rsidR="00E07EA0" w:rsidRPr="00FE4FBD">
        <w:rPr>
          <w:rFonts w:asciiTheme="minorHAnsi" w:hAnsiTheme="minorHAnsi" w:cstheme="minorHAnsi"/>
        </w:rPr>
        <w:t xml:space="preserve">, (ii) Holmes Regional Medical Center, Inc. (“Holmes”), (iii) </w:t>
      </w:r>
      <w:r w:rsidR="009C2408" w:rsidRPr="00FE4FBD">
        <w:rPr>
          <w:rFonts w:asciiTheme="minorHAnsi" w:hAnsiTheme="minorHAnsi" w:cstheme="minorHAnsi"/>
        </w:rPr>
        <w:t xml:space="preserve">Cape Canaveral Hospital, Inc. (“CCH”), and (iv) Viera Hospital, Inc. (“Viera,” and together with CCH, Holmes and Health First, the “Borrowers”) </w:t>
      </w:r>
      <w:r w:rsidRPr="00FE4FBD">
        <w:rPr>
          <w:rFonts w:asciiTheme="minorHAnsi" w:hAnsiTheme="minorHAnsi" w:cstheme="minorHAnsi"/>
        </w:rPr>
        <w:t xml:space="preserve">and used for one or more of the following purposes: (a) to finance, refinance, or reimburse </w:t>
      </w:r>
      <w:r w:rsidR="009225C1" w:rsidRPr="00FE4FBD">
        <w:rPr>
          <w:rFonts w:asciiTheme="minorHAnsi" w:hAnsiTheme="minorHAnsi" w:cstheme="minorHAnsi"/>
        </w:rPr>
        <w:t xml:space="preserve">one or more of the Borrowers </w:t>
      </w:r>
      <w:r w:rsidRPr="00FE4FBD">
        <w:rPr>
          <w:rFonts w:asciiTheme="minorHAnsi" w:hAnsiTheme="minorHAnsi" w:cstheme="minorHAnsi"/>
        </w:rPr>
        <w:t xml:space="preserve">for </w:t>
      </w:r>
      <w:r w:rsidR="009225C1" w:rsidRPr="00FE4FBD">
        <w:rPr>
          <w:rFonts w:asciiTheme="minorHAnsi" w:hAnsiTheme="minorHAnsi" w:cstheme="minorHAnsi"/>
        </w:rPr>
        <w:t>their respective</w:t>
      </w:r>
      <w:r w:rsidR="00C92A53" w:rsidRPr="00FE4FBD">
        <w:rPr>
          <w:rFonts w:asciiTheme="minorHAnsi" w:hAnsiTheme="minorHAnsi" w:cstheme="minorHAnsi"/>
        </w:rPr>
        <w:t xml:space="preserve"> </w:t>
      </w:r>
      <w:r w:rsidRPr="00FE4FBD">
        <w:rPr>
          <w:rFonts w:asciiTheme="minorHAnsi" w:hAnsiTheme="minorHAnsi" w:cstheme="minorHAnsi"/>
        </w:rPr>
        <w:t>payment of the costs of certain capital improvements to and equipment for certain of</w:t>
      </w:r>
      <w:r w:rsidR="00D854A8" w:rsidRPr="00FE4FBD">
        <w:rPr>
          <w:rFonts w:asciiTheme="minorHAnsi" w:hAnsiTheme="minorHAnsi" w:cstheme="minorHAnsi"/>
        </w:rPr>
        <w:t xml:space="preserve"> </w:t>
      </w:r>
      <w:r w:rsidR="009225C1" w:rsidRPr="00FE4FBD">
        <w:rPr>
          <w:rFonts w:asciiTheme="minorHAnsi" w:hAnsiTheme="minorHAnsi" w:cstheme="minorHAnsi"/>
        </w:rPr>
        <w:t xml:space="preserve">their </w:t>
      </w:r>
      <w:r w:rsidRPr="00FE4FBD">
        <w:rPr>
          <w:rFonts w:asciiTheme="minorHAnsi" w:hAnsiTheme="minorHAnsi" w:cstheme="minorHAnsi"/>
        </w:rPr>
        <w:t>health care facilities described below</w:t>
      </w:r>
      <w:r w:rsidR="00303DDC" w:rsidRPr="00FE4FBD">
        <w:rPr>
          <w:rFonts w:asciiTheme="minorHAnsi" w:hAnsiTheme="minorHAnsi" w:cstheme="minorHAnsi"/>
        </w:rPr>
        <w:t xml:space="preserve"> (the “Project”)</w:t>
      </w:r>
      <w:r w:rsidR="00D854A8" w:rsidRPr="00FE4FBD">
        <w:rPr>
          <w:rFonts w:asciiTheme="minorHAnsi" w:hAnsiTheme="minorHAnsi" w:cstheme="minorHAnsi"/>
        </w:rPr>
        <w:t xml:space="preserve">; </w:t>
      </w:r>
      <w:r w:rsidR="008F4011" w:rsidRPr="00FE4FBD">
        <w:rPr>
          <w:rFonts w:asciiTheme="minorHAnsi" w:hAnsiTheme="minorHAnsi" w:cstheme="minorHAnsi"/>
        </w:rPr>
        <w:t xml:space="preserve">(b) refund the outstanding Brevard County </w:t>
      </w:r>
      <w:r w:rsidR="008F4011" w:rsidRPr="00FE4FBD">
        <w:rPr>
          <w:rFonts w:asciiTheme="minorHAnsi" w:hAnsiTheme="minorHAnsi" w:cstheme="minorHAnsi"/>
          <w:w w:val="105"/>
        </w:rPr>
        <w:t>Health Facilities Authority</w:t>
      </w:r>
      <w:r w:rsidR="008F4011" w:rsidRPr="00FE4FBD">
        <w:rPr>
          <w:rFonts w:asciiTheme="minorHAnsi" w:hAnsiTheme="minorHAnsi" w:cstheme="minorHAnsi"/>
          <w:spacing w:val="3"/>
          <w:w w:val="105"/>
        </w:rPr>
        <w:t xml:space="preserve"> </w:t>
      </w:r>
      <w:r w:rsidR="008F4011" w:rsidRPr="00FE4FBD">
        <w:rPr>
          <w:rFonts w:asciiTheme="minorHAnsi" w:hAnsiTheme="minorHAnsi" w:cstheme="minorHAnsi"/>
          <w:w w:val="105"/>
        </w:rPr>
        <w:t>Revenue Refunding Bonds,</w:t>
      </w:r>
      <w:r w:rsidR="008F4011" w:rsidRPr="00FE4FBD">
        <w:rPr>
          <w:rFonts w:asciiTheme="minorHAnsi" w:hAnsiTheme="minorHAnsi" w:cstheme="minorHAnsi"/>
          <w:spacing w:val="-6"/>
          <w:w w:val="105"/>
        </w:rPr>
        <w:t xml:space="preserve"> </w:t>
      </w:r>
      <w:r w:rsidR="008F4011" w:rsidRPr="00FE4FBD">
        <w:rPr>
          <w:rFonts w:asciiTheme="minorHAnsi" w:hAnsiTheme="minorHAnsi" w:cstheme="minorHAnsi"/>
          <w:w w:val="105"/>
        </w:rPr>
        <w:t>Series</w:t>
      </w:r>
      <w:r w:rsidR="008F4011" w:rsidRPr="00FE4FBD">
        <w:rPr>
          <w:rFonts w:asciiTheme="minorHAnsi" w:hAnsiTheme="minorHAnsi" w:cstheme="minorHAnsi"/>
          <w:spacing w:val="-11"/>
          <w:w w:val="105"/>
        </w:rPr>
        <w:t xml:space="preserve"> </w:t>
      </w:r>
      <w:r w:rsidR="008F4011" w:rsidRPr="00FE4FBD">
        <w:rPr>
          <w:rFonts w:asciiTheme="minorHAnsi" w:hAnsiTheme="minorHAnsi" w:cstheme="minorHAnsi"/>
          <w:w w:val="105"/>
        </w:rPr>
        <w:t>2014</w:t>
      </w:r>
      <w:r w:rsidR="008F4011" w:rsidRPr="00FE4FBD">
        <w:rPr>
          <w:rFonts w:asciiTheme="minorHAnsi" w:hAnsiTheme="minorHAnsi" w:cstheme="minorHAnsi"/>
          <w:spacing w:val="-8"/>
          <w:w w:val="105"/>
        </w:rPr>
        <w:t xml:space="preserve"> </w:t>
      </w:r>
      <w:r w:rsidR="008F4011" w:rsidRPr="00FE4FBD">
        <w:rPr>
          <w:rFonts w:asciiTheme="minorHAnsi" w:hAnsiTheme="minorHAnsi" w:cstheme="minorHAnsi"/>
          <w:w w:val="105"/>
        </w:rPr>
        <w:t>(Health</w:t>
      </w:r>
      <w:r w:rsidR="008F4011" w:rsidRPr="00FE4FBD">
        <w:rPr>
          <w:rFonts w:asciiTheme="minorHAnsi" w:hAnsiTheme="minorHAnsi" w:cstheme="minorHAnsi"/>
          <w:spacing w:val="-7"/>
          <w:w w:val="105"/>
        </w:rPr>
        <w:t xml:space="preserve"> </w:t>
      </w:r>
      <w:r w:rsidR="008F4011" w:rsidRPr="00FE4FBD">
        <w:rPr>
          <w:rFonts w:asciiTheme="minorHAnsi" w:hAnsiTheme="minorHAnsi" w:cstheme="minorHAnsi"/>
          <w:w w:val="105"/>
        </w:rPr>
        <w:t>First,</w:t>
      </w:r>
      <w:r w:rsidR="008F4011" w:rsidRPr="00FE4FBD">
        <w:rPr>
          <w:rFonts w:asciiTheme="minorHAnsi" w:hAnsiTheme="minorHAnsi" w:cstheme="minorHAnsi"/>
          <w:spacing w:val="-8"/>
          <w:w w:val="105"/>
        </w:rPr>
        <w:t xml:space="preserve"> </w:t>
      </w:r>
      <w:r w:rsidR="008F4011" w:rsidRPr="00FE4FBD">
        <w:rPr>
          <w:rFonts w:asciiTheme="minorHAnsi" w:hAnsiTheme="minorHAnsi" w:cstheme="minorHAnsi"/>
          <w:w w:val="105"/>
        </w:rPr>
        <w:t>Inc.</w:t>
      </w:r>
      <w:r w:rsidR="008F4011" w:rsidRPr="00FE4FBD">
        <w:rPr>
          <w:rFonts w:asciiTheme="minorHAnsi" w:hAnsiTheme="minorHAnsi" w:cstheme="minorHAnsi"/>
          <w:spacing w:val="-5"/>
          <w:w w:val="105"/>
        </w:rPr>
        <w:t xml:space="preserve"> </w:t>
      </w:r>
      <w:r w:rsidR="008F4011" w:rsidRPr="00FE4FBD">
        <w:rPr>
          <w:rFonts w:asciiTheme="minorHAnsi" w:hAnsiTheme="minorHAnsi" w:cstheme="minorHAnsi"/>
          <w:w w:val="105"/>
        </w:rPr>
        <w:t>Project) (the “Series 2014 Bonds”)</w:t>
      </w:r>
      <w:r w:rsidR="0054778B" w:rsidRPr="00FE4FBD">
        <w:rPr>
          <w:rFonts w:asciiTheme="minorHAnsi" w:hAnsiTheme="minorHAnsi" w:cstheme="minorHAnsi"/>
          <w:w w:val="105"/>
        </w:rPr>
        <w:t>, issued in the original aggregate principal amount of $</w:t>
      </w:r>
      <w:r w:rsidR="00311D4A" w:rsidRPr="00FE4FBD">
        <w:rPr>
          <w:rFonts w:asciiTheme="minorHAnsi" w:hAnsiTheme="minorHAnsi" w:cstheme="minorHAnsi"/>
          <w:w w:val="105"/>
        </w:rPr>
        <w:t>255,385,000</w:t>
      </w:r>
      <w:r w:rsidR="0054778B" w:rsidRPr="00FE4FBD">
        <w:rPr>
          <w:rFonts w:asciiTheme="minorHAnsi" w:hAnsiTheme="minorHAnsi" w:cstheme="minorHAnsi"/>
          <w:w w:val="105"/>
        </w:rPr>
        <w:t>, $</w:t>
      </w:r>
      <w:r w:rsidR="00A15C3E" w:rsidRPr="00FE4FBD">
        <w:rPr>
          <w:rFonts w:asciiTheme="minorHAnsi" w:hAnsiTheme="minorHAnsi" w:cstheme="minorHAnsi"/>
          <w:w w:val="105"/>
        </w:rPr>
        <w:t>239,060,000</w:t>
      </w:r>
      <w:r w:rsidR="0054778B" w:rsidRPr="00FE4FBD">
        <w:rPr>
          <w:rFonts w:asciiTheme="minorHAnsi" w:hAnsiTheme="minorHAnsi" w:cstheme="minorHAnsi"/>
          <w:w w:val="105"/>
        </w:rPr>
        <w:t xml:space="preserve"> of which </w:t>
      </w:r>
      <w:r w:rsidR="00401BBC" w:rsidRPr="00FE4FBD">
        <w:rPr>
          <w:rFonts w:asciiTheme="minorHAnsi" w:hAnsiTheme="minorHAnsi" w:cstheme="minorHAnsi"/>
          <w:w w:val="105"/>
        </w:rPr>
        <w:t>is currently outstanding</w:t>
      </w:r>
      <w:r w:rsidR="0054778B" w:rsidRPr="00FE4FBD">
        <w:rPr>
          <w:rFonts w:asciiTheme="minorHAnsi" w:hAnsiTheme="minorHAnsi" w:cstheme="minorHAnsi"/>
          <w:w w:val="105"/>
        </w:rPr>
        <w:t>,</w:t>
      </w:r>
      <w:r w:rsidR="008F4011" w:rsidRPr="00FE4FBD">
        <w:rPr>
          <w:rFonts w:asciiTheme="minorHAnsi" w:hAnsiTheme="minorHAnsi" w:cstheme="minorHAnsi"/>
        </w:rPr>
        <w:t xml:space="preserve"> </w:t>
      </w:r>
      <w:r w:rsidR="00B3222D" w:rsidRPr="00FE4FBD">
        <w:rPr>
          <w:rFonts w:asciiTheme="minorHAnsi" w:hAnsiTheme="minorHAnsi" w:cstheme="minorHAnsi"/>
        </w:rPr>
        <w:t>(</w:t>
      </w:r>
      <w:r w:rsidR="008F4011" w:rsidRPr="00FE4FBD">
        <w:rPr>
          <w:rFonts w:asciiTheme="minorHAnsi" w:hAnsiTheme="minorHAnsi" w:cstheme="minorHAnsi"/>
        </w:rPr>
        <w:t>c</w:t>
      </w:r>
      <w:r w:rsidR="00B3222D" w:rsidRPr="00FE4FBD">
        <w:rPr>
          <w:rFonts w:asciiTheme="minorHAnsi" w:hAnsiTheme="minorHAnsi" w:cstheme="minorHAnsi"/>
        </w:rPr>
        <w:t xml:space="preserve">) refund </w:t>
      </w:r>
      <w:r w:rsidR="00401BBC" w:rsidRPr="00FE4FBD">
        <w:rPr>
          <w:rFonts w:asciiTheme="minorHAnsi" w:hAnsiTheme="minorHAnsi" w:cstheme="minorHAnsi"/>
        </w:rPr>
        <w:t xml:space="preserve">the </w:t>
      </w:r>
      <w:r w:rsidR="00B3222D" w:rsidRPr="00FE4FBD">
        <w:rPr>
          <w:rFonts w:asciiTheme="minorHAnsi" w:hAnsiTheme="minorHAnsi" w:cstheme="minorHAnsi"/>
        </w:rPr>
        <w:t xml:space="preserve">outstanding Brevard County </w:t>
      </w:r>
      <w:r w:rsidR="00B3222D" w:rsidRPr="00FE4FBD">
        <w:rPr>
          <w:rFonts w:asciiTheme="minorHAnsi" w:hAnsiTheme="minorHAnsi" w:cstheme="minorHAnsi"/>
          <w:w w:val="105"/>
        </w:rPr>
        <w:t>Health Facilities Authority</w:t>
      </w:r>
      <w:r w:rsidR="00B3222D" w:rsidRPr="00FE4FBD">
        <w:rPr>
          <w:rFonts w:asciiTheme="minorHAnsi" w:hAnsiTheme="minorHAnsi" w:cstheme="minorHAnsi"/>
          <w:spacing w:val="3"/>
          <w:w w:val="105"/>
        </w:rPr>
        <w:t xml:space="preserve"> </w:t>
      </w:r>
      <w:r w:rsidR="00B3222D" w:rsidRPr="00FE4FBD">
        <w:rPr>
          <w:rFonts w:asciiTheme="minorHAnsi" w:hAnsiTheme="minorHAnsi" w:cstheme="minorHAnsi"/>
          <w:w w:val="105"/>
        </w:rPr>
        <w:t>Revenue Refunding Bonds,</w:t>
      </w:r>
      <w:r w:rsidR="00B3222D" w:rsidRPr="00FE4FBD">
        <w:rPr>
          <w:rFonts w:asciiTheme="minorHAnsi" w:hAnsiTheme="minorHAnsi" w:cstheme="minorHAnsi"/>
          <w:spacing w:val="-6"/>
          <w:w w:val="105"/>
        </w:rPr>
        <w:t xml:space="preserve"> </w:t>
      </w:r>
      <w:r w:rsidR="00B3222D" w:rsidRPr="00FE4FBD">
        <w:rPr>
          <w:rFonts w:asciiTheme="minorHAnsi" w:hAnsiTheme="minorHAnsi" w:cstheme="minorHAnsi"/>
          <w:w w:val="105"/>
        </w:rPr>
        <w:t>Series</w:t>
      </w:r>
      <w:r w:rsidR="00B3222D" w:rsidRPr="00FE4FBD">
        <w:rPr>
          <w:rFonts w:asciiTheme="minorHAnsi" w:hAnsiTheme="minorHAnsi" w:cstheme="minorHAnsi"/>
          <w:spacing w:val="-11"/>
          <w:w w:val="105"/>
        </w:rPr>
        <w:t xml:space="preserve"> </w:t>
      </w:r>
      <w:r w:rsidR="00B3222D" w:rsidRPr="00FE4FBD">
        <w:rPr>
          <w:rFonts w:asciiTheme="minorHAnsi" w:hAnsiTheme="minorHAnsi" w:cstheme="minorHAnsi"/>
          <w:w w:val="105"/>
        </w:rPr>
        <w:t>2013A</w:t>
      </w:r>
      <w:r w:rsidR="00B3222D" w:rsidRPr="00FE4FBD">
        <w:rPr>
          <w:rFonts w:asciiTheme="minorHAnsi" w:hAnsiTheme="minorHAnsi" w:cstheme="minorHAnsi"/>
          <w:spacing w:val="-8"/>
          <w:w w:val="105"/>
        </w:rPr>
        <w:t xml:space="preserve"> </w:t>
      </w:r>
      <w:r w:rsidR="00B3222D" w:rsidRPr="00FE4FBD">
        <w:rPr>
          <w:rFonts w:asciiTheme="minorHAnsi" w:hAnsiTheme="minorHAnsi" w:cstheme="minorHAnsi"/>
          <w:w w:val="105"/>
        </w:rPr>
        <w:t>(Health</w:t>
      </w:r>
      <w:r w:rsidR="00B3222D" w:rsidRPr="00FE4FBD">
        <w:rPr>
          <w:rFonts w:asciiTheme="minorHAnsi" w:hAnsiTheme="minorHAnsi" w:cstheme="minorHAnsi"/>
          <w:spacing w:val="-7"/>
          <w:w w:val="105"/>
        </w:rPr>
        <w:t xml:space="preserve"> </w:t>
      </w:r>
      <w:r w:rsidR="00B3222D" w:rsidRPr="00FE4FBD">
        <w:rPr>
          <w:rFonts w:asciiTheme="minorHAnsi" w:hAnsiTheme="minorHAnsi" w:cstheme="minorHAnsi"/>
          <w:w w:val="105"/>
        </w:rPr>
        <w:t>First,</w:t>
      </w:r>
      <w:r w:rsidR="00B3222D" w:rsidRPr="00FE4FBD">
        <w:rPr>
          <w:rFonts w:asciiTheme="minorHAnsi" w:hAnsiTheme="minorHAnsi" w:cstheme="minorHAnsi"/>
          <w:spacing w:val="-8"/>
          <w:w w:val="105"/>
        </w:rPr>
        <w:t xml:space="preserve"> </w:t>
      </w:r>
      <w:r w:rsidR="00B3222D" w:rsidRPr="00FE4FBD">
        <w:rPr>
          <w:rFonts w:asciiTheme="minorHAnsi" w:hAnsiTheme="minorHAnsi" w:cstheme="minorHAnsi"/>
          <w:w w:val="105"/>
        </w:rPr>
        <w:t>Inc.</w:t>
      </w:r>
      <w:r w:rsidR="00B3222D" w:rsidRPr="00FE4FBD">
        <w:rPr>
          <w:rFonts w:asciiTheme="minorHAnsi" w:hAnsiTheme="minorHAnsi" w:cstheme="minorHAnsi"/>
          <w:spacing w:val="-5"/>
          <w:w w:val="105"/>
        </w:rPr>
        <w:t xml:space="preserve"> </w:t>
      </w:r>
      <w:r w:rsidR="00B3222D" w:rsidRPr="00FE4FBD">
        <w:rPr>
          <w:rFonts w:asciiTheme="minorHAnsi" w:hAnsiTheme="minorHAnsi" w:cstheme="minorHAnsi"/>
          <w:w w:val="105"/>
        </w:rPr>
        <w:t>Project)</w:t>
      </w:r>
      <w:r w:rsidR="008F4011" w:rsidRPr="00FE4FBD">
        <w:rPr>
          <w:rFonts w:asciiTheme="minorHAnsi" w:hAnsiTheme="minorHAnsi" w:cstheme="minorHAnsi"/>
          <w:w w:val="105"/>
        </w:rPr>
        <w:t xml:space="preserve"> (the “Series 2013A Bonds)</w:t>
      </w:r>
      <w:r w:rsidR="0054778B" w:rsidRPr="00FE4FBD">
        <w:rPr>
          <w:rFonts w:asciiTheme="minorHAnsi" w:hAnsiTheme="minorHAnsi" w:cstheme="minorHAnsi"/>
          <w:w w:val="105"/>
        </w:rPr>
        <w:t>, issued in the original aggregate principal amount of $</w:t>
      </w:r>
      <w:r w:rsidR="00311D4A" w:rsidRPr="00FE4FBD">
        <w:rPr>
          <w:rFonts w:asciiTheme="minorHAnsi" w:hAnsiTheme="minorHAnsi" w:cstheme="minorHAnsi"/>
          <w:w w:val="105"/>
        </w:rPr>
        <w:t>65,910,000</w:t>
      </w:r>
      <w:r w:rsidR="0054778B" w:rsidRPr="00FE4FBD">
        <w:rPr>
          <w:rFonts w:asciiTheme="minorHAnsi" w:hAnsiTheme="minorHAnsi" w:cstheme="minorHAnsi"/>
          <w:w w:val="105"/>
        </w:rPr>
        <w:t xml:space="preserve">, </w:t>
      </w:r>
      <w:r w:rsidR="00401BBC" w:rsidRPr="00FE4FBD">
        <w:rPr>
          <w:rFonts w:asciiTheme="minorHAnsi" w:hAnsiTheme="minorHAnsi" w:cstheme="minorHAnsi"/>
          <w:w w:val="105"/>
        </w:rPr>
        <w:t>$</w:t>
      </w:r>
      <w:r w:rsidR="00A15C3E" w:rsidRPr="00FE4FBD">
        <w:rPr>
          <w:rFonts w:asciiTheme="minorHAnsi" w:hAnsiTheme="minorHAnsi" w:cstheme="minorHAnsi"/>
          <w:w w:val="105"/>
        </w:rPr>
        <w:t>55,865,000</w:t>
      </w:r>
      <w:r w:rsidR="00401BBC" w:rsidRPr="00FE4FBD">
        <w:rPr>
          <w:rFonts w:asciiTheme="minorHAnsi" w:hAnsiTheme="minorHAnsi" w:cstheme="minorHAnsi"/>
          <w:w w:val="105"/>
        </w:rPr>
        <w:t xml:space="preserve"> of which is currently outstanding</w:t>
      </w:r>
      <w:r w:rsidR="00B3222D" w:rsidRPr="00FE4FBD">
        <w:rPr>
          <w:rFonts w:asciiTheme="minorHAnsi" w:hAnsiTheme="minorHAnsi" w:cstheme="minorHAnsi"/>
          <w:w w:val="105"/>
        </w:rPr>
        <w:t>, (</w:t>
      </w:r>
      <w:r w:rsidR="008F4011" w:rsidRPr="00FE4FBD">
        <w:rPr>
          <w:rFonts w:asciiTheme="minorHAnsi" w:hAnsiTheme="minorHAnsi" w:cstheme="minorHAnsi"/>
          <w:w w:val="105"/>
        </w:rPr>
        <w:t>d</w:t>
      </w:r>
      <w:r w:rsidR="00B3222D" w:rsidRPr="00FE4FBD">
        <w:rPr>
          <w:rFonts w:asciiTheme="minorHAnsi" w:hAnsiTheme="minorHAnsi" w:cstheme="minorHAnsi"/>
          <w:w w:val="105"/>
        </w:rPr>
        <w:t xml:space="preserve">) </w:t>
      </w:r>
      <w:r w:rsidR="00B3222D" w:rsidRPr="00FE4FBD">
        <w:rPr>
          <w:rFonts w:asciiTheme="minorHAnsi" w:hAnsiTheme="minorHAnsi" w:cstheme="minorHAnsi"/>
        </w:rPr>
        <w:t xml:space="preserve">refund </w:t>
      </w:r>
      <w:r w:rsidR="00401BBC" w:rsidRPr="00FE4FBD">
        <w:rPr>
          <w:rFonts w:asciiTheme="minorHAnsi" w:hAnsiTheme="minorHAnsi" w:cstheme="minorHAnsi"/>
        </w:rPr>
        <w:t>the</w:t>
      </w:r>
      <w:r w:rsidR="00B3222D" w:rsidRPr="00FE4FBD">
        <w:rPr>
          <w:rFonts w:asciiTheme="minorHAnsi" w:hAnsiTheme="minorHAnsi" w:cstheme="minorHAnsi"/>
        </w:rPr>
        <w:t xml:space="preserve"> outstanding Brevard County </w:t>
      </w:r>
      <w:r w:rsidR="00B3222D" w:rsidRPr="00FE4FBD">
        <w:rPr>
          <w:rFonts w:asciiTheme="minorHAnsi" w:hAnsiTheme="minorHAnsi" w:cstheme="minorHAnsi"/>
          <w:w w:val="105"/>
        </w:rPr>
        <w:t>Health Facilities Authority Health Facilities Revenue Bonds, Series 2009A (Health First, Inc. Project)</w:t>
      </w:r>
      <w:r w:rsidR="008F4011" w:rsidRPr="00FE4FBD">
        <w:rPr>
          <w:rFonts w:asciiTheme="minorHAnsi" w:hAnsiTheme="minorHAnsi" w:cstheme="minorHAnsi"/>
          <w:w w:val="105"/>
        </w:rPr>
        <w:t xml:space="preserve"> (the “Series 2009A Bonds</w:t>
      </w:r>
      <w:r w:rsidR="00E406A0" w:rsidRPr="00FE4FBD">
        <w:rPr>
          <w:rFonts w:asciiTheme="minorHAnsi" w:hAnsiTheme="minorHAnsi" w:cstheme="minorHAnsi"/>
          <w:w w:val="105"/>
        </w:rPr>
        <w:t>,</w:t>
      </w:r>
      <w:r w:rsidR="008F4011" w:rsidRPr="00FE4FBD">
        <w:rPr>
          <w:rFonts w:asciiTheme="minorHAnsi" w:hAnsiTheme="minorHAnsi" w:cstheme="minorHAnsi"/>
          <w:w w:val="105"/>
        </w:rPr>
        <w:t>”</w:t>
      </w:r>
      <w:r w:rsidR="00E406A0" w:rsidRPr="00FE4FBD">
        <w:rPr>
          <w:rFonts w:asciiTheme="minorHAnsi" w:hAnsiTheme="minorHAnsi" w:cstheme="minorHAnsi"/>
          <w:w w:val="105"/>
        </w:rPr>
        <w:t xml:space="preserve"> and together with the Series 2013A Bonds and the Series 2014 Bonds, the “Prior Bonds”</w:t>
      </w:r>
      <w:r w:rsidR="008F4011" w:rsidRPr="00FE4FBD">
        <w:rPr>
          <w:rFonts w:asciiTheme="minorHAnsi" w:hAnsiTheme="minorHAnsi" w:cstheme="minorHAnsi"/>
          <w:w w:val="105"/>
        </w:rPr>
        <w:t>)</w:t>
      </w:r>
      <w:r w:rsidR="0054778B" w:rsidRPr="00FE4FBD">
        <w:rPr>
          <w:rFonts w:asciiTheme="minorHAnsi" w:hAnsiTheme="minorHAnsi" w:cstheme="minorHAnsi"/>
          <w:w w:val="105"/>
        </w:rPr>
        <w:t>, issued in the original aggregate principal amount of $</w:t>
      </w:r>
      <w:r w:rsidR="00311D4A" w:rsidRPr="00FE4FBD">
        <w:rPr>
          <w:rFonts w:asciiTheme="minorHAnsi" w:hAnsiTheme="minorHAnsi" w:cstheme="minorHAnsi"/>
          <w:w w:val="105"/>
        </w:rPr>
        <w:t>70,000,000</w:t>
      </w:r>
      <w:r w:rsidR="0054778B" w:rsidRPr="00FE4FBD">
        <w:rPr>
          <w:rFonts w:asciiTheme="minorHAnsi" w:hAnsiTheme="minorHAnsi" w:cstheme="minorHAnsi"/>
          <w:w w:val="105"/>
        </w:rPr>
        <w:t>, $</w:t>
      </w:r>
      <w:r w:rsidR="00E4300A" w:rsidRPr="00FE4FBD">
        <w:rPr>
          <w:rFonts w:asciiTheme="minorHAnsi" w:hAnsiTheme="minorHAnsi" w:cstheme="minorHAnsi"/>
          <w:w w:val="105"/>
        </w:rPr>
        <w:t>30,916,666</w:t>
      </w:r>
      <w:r w:rsidR="0054778B" w:rsidRPr="00FE4FBD">
        <w:rPr>
          <w:rFonts w:asciiTheme="minorHAnsi" w:hAnsiTheme="minorHAnsi" w:cstheme="minorHAnsi"/>
          <w:w w:val="105"/>
        </w:rPr>
        <w:t xml:space="preserve"> of which </w:t>
      </w:r>
      <w:r w:rsidR="00E4300A" w:rsidRPr="00FE4FBD">
        <w:rPr>
          <w:rFonts w:asciiTheme="minorHAnsi" w:hAnsiTheme="minorHAnsi" w:cstheme="minorHAnsi"/>
          <w:w w:val="105"/>
        </w:rPr>
        <w:t>is currently outstanding</w:t>
      </w:r>
      <w:r w:rsidR="00B3222D" w:rsidRPr="00FE4FBD">
        <w:rPr>
          <w:rFonts w:asciiTheme="minorHAnsi" w:hAnsiTheme="minorHAnsi" w:cstheme="minorHAnsi"/>
          <w:w w:val="105"/>
        </w:rPr>
        <w:t xml:space="preserve">, </w:t>
      </w:r>
      <w:r w:rsidR="00D854A8" w:rsidRPr="00FE4FBD">
        <w:rPr>
          <w:rFonts w:asciiTheme="minorHAnsi" w:hAnsiTheme="minorHAnsi" w:cstheme="minorHAnsi"/>
        </w:rPr>
        <w:t>(</w:t>
      </w:r>
      <w:r w:rsidR="008F4011" w:rsidRPr="00FE4FBD">
        <w:rPr>
          <w:rFonts w:asciiTheme="minorHAnsi" w:hAnsiTheme="minorHAnsi" w:cstheme="minorHAnsi"/>
        </w:rPr>
        <w:t>e</w:t>
      </w:r>
      <w:r w:rsidR="00D854A8" w:rsidRPr="00FE4FBD">
        <w:rPr>
          <w:rFonts w:asciiTheme="minorHAnsi" w:hAnsiTheme="minorHAnsi" w:cstheme="minorHAnsi"/>
        </w:rPr>
        <w:t>) provide one or more debt service reserve funds for the benefit of all or a portion of the Bonds, if deemed necessary or desirable, (</w:t>
      </w:r>
      <w:r w:rsidR="008F4011" w:rsidRPr="00FE4FBD">
        <w:rPr>
          <w:rFonts w:asciiTheme="minorHAnsi" w:hAnsiTheme="minorHAnsi" w:cstheme="minorHAnsi"/>
        </w:rPr>
        <w:t>f</w:t>
      </w:r>
      <w:r w:rsidR="00D854A8" w:rsidRPr="00FE4FBD">
        <w:rPr>
          <w:rFonts w:asciiTheme="minorHAnsi" w:hAnsiTheme="minorHAnsi" w:cstheme="minorHAnsi"/>
        </w:rPr>
        <w:t>) pay a portion of the interest to accrue on the Bonds, if deemed necessary or desirable, and (</w:t>
      </w:r>
      <w:r w:rsidR="00514D33" w:rsidRPr="00FE4FBD">
        <w:rPr>
          <w:rFonts w:asciiTheme="minorHAnsi" w:hAnsiTheme="minorHAnsi" w:cstheme="minorHAnsi"/>
        </w:rPr>
        <w:t>g</w:t>
      </w:r>
      <w:r w:rsidR="00D854A8" w:rsidRPr="00FE4FBD">
        <w:rPr>
          <w:rFonts w:asciiTheme="minorHAnsi" w:hAnsiTheme="minorHAnsi" w:cstheme="minorHAnsi"/>
        </w:rPr>
        <w:t>) pay certain costs of issuance of the Bonds, including the costs of any credit or liquidity enhancement thereof,</w:t>
      </w:r>
      <w:r w:rsidR="00BA2FBE" w:rsidRPr="00FE4FBD">
        <w:rPr>
          <w:rFonts w:asciiTheme="minorHAnsi" w:hAnsiTheme="minorHAnsi" w:cstheme="minorHAnsi"/>
        </w:rPr>
        <w:t xml:space="preserve"> as well as the costs of terminating certain interest rate hedge agreements relating to the certain of the Prior Bonds, all</w:t>
      </w:r>
      <w:r w:rsidR="00D854A8" w:rsidRPr="00FE4FBD">
        <w:rPr>
          <w:rFonts w:asciiTheme="minorHAnsi" w:hAnsiTheme="minorHAnsi" w:cstheme="minorHAnsi"/>
        </w:rPr>
        <w:t xml:space="preserve"> if deemed necessary or desirable.</w:t>
      </w:r>
    </w:p>
    <w:p w14:paraId="57EE369F" w14:textId="77777777" w:rsidR="004E5986" w:rsidRPr="00FE4FBD" w:rsidRDefault="00B25BF7" w:rsidP="008E51D9">
      <w:pPr>
        <w:pStyle w:val="ParaNORMAL"/>
        <w:rPr>
          <w:rFonts w:asciiTheme="minorHAnsi" w:hAnsiTheme="minorHAnsi" w:cstheme="minorHAnsi"/>
          <w:w w:val="105"/>
        </w:rPr>
      </w:pPr>
      <w:r w:rsidRPr="00FE4FBD">
        <w:rPr>
          <w:rFonts w:asciiTheme="minorHAnsi" w:hAnsiTheme="minorHAnsi" w:cstheme="minorHAnsi"/>
        </w:rPr>
        <w:t xml:space="preserve">The proceeds of the Series 2014 Bonds were used, together with certain other moneys, to: </w:t>
      </w:r>
      <w:r w:rsidR="00DA7C8A" w:rsidRPr="00FE4FBD">
        <w:rPr>
          <w:rFonts w:asciiTheme="minorHAnsi" w:hAnsiTheme="minorHAnsi" w:cstheme="minorHAnsi"/>
        </w:rPr>
        <w:t>(i)</w:t>
      </w:r>
      <w:r w:rsidR="00B20177" w:rsidRPr="00FE4FBD">
        <w:rPr>
          <w:rFonts w:asciiTheme="minorHAnsi" w:hAnsiTheme="minorHAnsi" w:cstheme="minorHAnsi"/>
        </w:rPr>
        <w:t xml:space="preserve"> </w:t>
      </w:r>
      <w:r w:rsidR="00DA7C8A" w:rsidRPr="00FE4FBD">
        <w:rPr>
          <w:rFonts w:asciiTheme="minorHAnsi" w:hAnsiTheme="minorHAnsi" w:cstheme="minorHAnsi"/>
        </w:rPr>
        <w:t xml:space="preserve">refund a portion of the outstanding Brevard County </w:t>
      </w:r>
      <w:r w:rsidR="00DA7C8A" w:rsidRPr="00FE4FBD">
        <w:rPr>
          <w:rFonts w:asciiTheme="minorHAnsi" w:hAnsiTheme="minorHAnsi" w:cstheme="minorHAnsi"/>
          <w:w w:val="105"/>
        </w:rPr>
        <w:t>Health Facilities Authority</w:t>
      </w:r>
      <w:r w:rsidR="00DA7C8A" w:rsidRPr="00FE4FBD">
        <w:rPr>
          <w:rFonts w:asciiTheme="minorHAnsi" w:hAnsiTheme="minorHAnsi" w:cstheme="minorHAnsi"/>
          <w:spacing w:val="3"/>
          <w:w w:val="105"/>
        </w:rPr>
        <w:t xml:space="preserve"> Health Facilities </w:t>
      </w:r>
      <w:r w:rsidR="00DA7C8A" w:rsidRPr="00FE4FBD">
        <w:rPr>
          <w:rFonts w:asciiTheme="minorHAnsi" w:hAnsiTheme="minorHAnsi" w:cstheme="minorHAnsi"/>
          <w:w w:val="105"/>
        </w:rPr>
        <w:t>Revenue Bonds,</w:t>
      </w:r>
      <w:r w:rsidR="00DA7C8A" w:rsidRPr="00FE4FBD">
        <w:rPr>
          <w:rFonts w:asciiTheme="minorHAnsi" w:hAnsiTheme="minorHAnsi" w:cstheme="minorHAnsi"/>
          <w:spacing w:val="-6"/>
          <w:w w:val="105"/>
        </w:rPr>
        <w:t xml:space="preserve"> </w:t>
      </w:r>
      <w:r w:rsidR="00DA7C8A" w:rsidRPr="00FE4FBD">
        <w:rPr>
          <w:rFonts w:asciiTheme="minorHAnsi" w:hAnsiTheme="minorHAnsi" w:cstheme="minorHAnsi"/>
          <w:w w:val="105"/>
        </w:rPr>
        <w:t>Series</w:t>
      </w:r>
      <w:r w:rsidR="00DA7C8A" w:rsidRPr="00FE4FBD">
        <w:rPr>
          <w:rFonts w:asciiTheme="minorHAnsi" w:hAnsiTheme="minorHAnsi" w:cstheme="minorHAnsi"/>
          <w:spacing w:val="-11"/>
          <w:w w:val="105"/>
        </w:rPr>
        <w:t xml:space="preserve"> </w:t>
      </w:r>
      <w:r w:rsidR="00DA7C8A" w:rsidRPr="00FE4FBD">
        <w:rPr>
          <w:rFonts w:asciiTheme="minorHAnsi" w:hAnsiTheme="minorHAnsi" w:cstheme="minorHAnsi"/>
          <w:w w:val="105"/>
        </w:rPr>
        <w:t>20</w:t>
      </w:r>
      <w:r w:rsidR="00B20177" w:rsidRPr="00FE4FBD">
        <w:rPr>
          <w:rFonts w:asciiTheme="minorHAnsi" w:hAnsiTheme="minorHAnsi" w:cstheme="minorHAnsi"/>
          <w:w w:val="105"/>
        </w:rPr>
        <w:t>05</w:t>
      </w:r>
      <w:r w:rsidR="00DA7C8A" w:rsidRPr="00FE4FBD">
        <w:rPr>
          <w:rFonts w:asciiTheme="minorHAnsi" w:hAnsiTheme="minorHAnsi" w:cstheme="minorHAnsi"/>
          <w:spacing w:val="-8"/>
          <w:w w:val="105"/>
        </w:rPr>
        <w:t xml:space="preserve"> </w:t>
      </w:r>
      <w:r w:rsidR="00DA7C8A" w:rsidRPr="00FE4FBD">
        <w:rPr>
          <w:rFonts w:asciiTheme="minorHAnsi" w:hAnsiTheme="minorHAnsi" w:cstheme="minorHAnsi"/>
          <w:w w:val="105"/>
        </w:rPr>
        <w:t>(Health</w:t>
      </w:r>
      <w:r w:rsidR="00DA7C8A" w:rsidRPr="00FE4FBD">
        <w:rPr>
          <w:rFonts w:asciiTheme="minorHAnsi" w:hAnsiTheme="minorHAnsi" w:cstheme="minorHAnsi"/>
          <w:spacing w:val="-7"/>
          <w:w w:val="105"/>
        </w:rPr>
        <w:t xml:space="preserve"> </w:t>
      </w:r>
      <w:r w:rsidR="00DA7C8A" w:rsidRPr="00FE4FBD">
        <w:rPr>
          <w:rFonts w:asciiTheme="minorHAnsi" w:hAnsiTheme="minorHAnsi" w:cstheme="minorHAnsi"/>
          <w:w w:val="105"/>
        </w:rPr>
        <w:t>First,</w:t>
      </w:r>
      <w:r w:rsidR="00DA7C8A" w:rsidRPr="00FE4FBD">
        <w:rPr>
          <w:rFonts w:asciiTheme="minorHAnsi" w:hAnsiTheme="minorHAnsi" w:cstheme="minorHAnsi"/>
          <w:spacing w:val="-8"/>
          <w:w w:val="105"/>
        </w:rPr>
        <w:t xml:space="preserve"> </w:t>
      </w:r>
      <w:r w:rsidR="00DA7C8A" w:rsidRPr="00FE4FBD">
        <w:rPr>
          <w:rFonts w:asciiTheme="minorHAnsi" w:hAnsiTheme="minorHAnsi" w:cstheme="minorHAnsi"/>
          <w:w w:val="105"/>
        </w:rPr>
        <w:t>Inc.</w:t>
      </w:r>
      <w:r w:rsidR="00DA7C8A" w:rsidRPr="00FE4FBD">
        <w:rPr>
          <w:rFonts w:asciiTheme="minorHAnsi" w:hAnsiTheme="minorHAnsi" w:cstheme="minorHAnsi"/>
          <w:spacing w:val="-5"/>
          <w:w w:val="105"/>
        </w:rPr>
        <w:t xml:space="preserve"> </w:t>
      </w:r>
      <w:r w:rsidR="00DA7C8A" w:rsidRPr="00FE4FBD">
        <w:rPr>
          <w:rFonts w:asciiTheme="minorHAnsi" w:hAnsiTheme="minorHAnsi" w:cstheme="minorHAnsi"/>
          <w:w w:val="105"/>
        </w:rPr>
        <w:t>Project)</w:t>
      </w:r>
      <w:r w:rsidR="00B20177" w:rsidRPr="00FE4FBD">
        <w:rPr>
          <w:rFonts w:asciiTheme="minorHAnsi" w:hAnsiTheme="minorHAnsi" w:cstheme="minorHAnsi"/>
          <w:w w:val="105"/>
        </w:rPr>
        <w:t xml:space="preserve">, (ii) refund all outstanding </w:t>
      </w:r>
      <w:r w:rsidR="00B20177" w:rsidRPr="00FE4FBD">
        <w:rPr>
          <w:rFonts w:asciiTheme="minorHAnsi" w:hAnsiTheme="minorHAnsi" w:cstheme="minorHAnsi"/>
        </w:rPr>
        <w:t xml:space="preserve">Brevard County </w:t>
      </w:r>
      <w:r w:rsidR="00B20177" w:rsidRPr="00FE4FBD">
        <w:rPr>
          <w:rFonts w:asciiTheme="minorHAnsi" w:hAnsiTheme="minorHAnsi" w:cstheme="minorHAnsi"/>
          <w:w w:val="105"/>
        </w:rPr>
        <w:t>Health Facilities Authority</w:t>
      </w:r>
      <w:r w:rsidR="00B20177" w:rsidRPr="00FE4FBD">
        <w:rPr>
          <w:rFonts w:asciiTheme="minorHAnsi" w:hAnsiTheme="minorHAnsi" w:cstheme="minorHAnsi"/>
          <w:spacing w:val="3"/>
          <w:w w:val="105"/>
        </w:rPr>
        <w:t xml:space="preserve"> Health Facilities </w:t>
      </w:r>
      <w:r w:rsidR="00B20177" w:rsidRPr="00FE4FBD">
        <w:rPr>
          <w:rFonts w:asciiTheme="minorHAnsi" w:hAnsiTheme="minorHAnsi" w:cstheme="minorHAnsi"/>
          <w:w w:val="105"/>
        </w:rPr>
        <w:t>Revenue Bonds,</w:t>
      </w:r>
      <w:r w:rsidR="00B20177" w:rsidRPr="00FE4FBD">
        <w:rPr>
          <w:rFonts w:asciiTheme="minorHAnsi" w:hAnsiTheme="minorHAnsi" w:cstheme="minorHAnsi"/>
          <w:spacing w:val="-6"/>
          <w:w w:val="105"/>
        </w:rPr>
        <w:t xml:space="preserve"> </w:t>
      </w:r>
      <w:r w:rsidR="00B20177" w:rsidRPr="00FE4FBD">
        <w:rPr>
          <w:rFonts w:asciiTheme="minorHAnsi" w:hAnsiTheme="minorHAnsi" w:cstheme="minorHAnsi"/>
          <w:w w:val="105"/>
        </w:rPr>
        <w:t>Series</w:t>
      </w:r>
      <w:r w:rsidR="00B20177" w:rsidRPr="00FE4FBD">
        <w:rPr>
          <w:rFonts w:asciiTheme="minorHAnsi" w:hAnsiTheme="minorHAnsi" w:cstheme="minorHAnsi"/>
          <w:spacing w:val="-11"/>
          <w:w w:val="105"/>
        </w:rPr>
        <w:t xml:space="preserve"> </w:t>
      </w:r>
      <w:r w:rsidR="00B20177" w:rsidRPr="00FE4FBD">
        <w:rPr>
          <w:rFonts w:asciiTheme="minorHAnsi" w:hAnsiTheme="minorHAnsi" w:cstheme="minorHAnsi"/>
          <w:w w:val="105"/>
        </w:rPr>
        <w:t>2009B</w:t>
      </w:r>
      <w:r w:rsidR="00B20177" w:rsidRPr="00FE4FBD">
        <w:rPr>
          <w:rFonts w:asciiTheme="minorHAnsi" w:hAnsiTheme="minorHAnsi" w:cstheme="minorHAnsi"/>
          <w:spacing w:val="-8"/>
          <w:w w:val="105"/>
        </w:rPr>
        <w:t xml:space="preserve"> </w:t>
      </w:r>
      <w:r w:rsidR="00B20177" w:rsidRPr="00FE4FBD">
        <w:rPr>
          <w:rFonts w:asciiTheme="minorHAnsi" w:hAnsiTheme="minorHAnsi" w:cstheme="minorHAnsi"/>
          <w:w w:val="105"/>
        </w:rPr>
        <w:t>(Health</w:t>
      </w:r>
      <w:r w:rsidR="00B20177" w:rsidRPr="00FE4FBD">
        <w:rPr>
          <w:rFonts w:asciiTheme="minorHAnsi" w:hAnsiTheme="minorHAnsi" w:cstheme="minorHAnsi"/>
          <w:spacing w:val="-7"/>
          <w:w w:val="105"/>
        </w:rPr>
        <w:t xml:space="preserve"> </w:t>
      </w:r>
      <w:r w:rsidR="00B20177" w:rsidRPr="00FE4FBD">
        <w:rPr>
          <w:rFonts w:asciiTheme="minorHAnsi" w:hAnsiTheme="minorHAnsi" w:cstheme="minorHAnsi"/>
          <w:w w:val="105"/>
        </w:rPr>
        <w:t>First,</w:t>
      </w:r>
      <w:r w:rsidR="00B20177" w:rsidRPr="00FE4FBD">
        <w:rPr>
          <w:rFonts w:asciiTheme="minorHAnsi" w:hAnsiTheme="minorHAnsi" w:cstheme="minorHAnsi"/>
          <w:spacing w:val="-8"/>
          <w:w w:val="105"/>
        </w:rPr>
        <w:t xml:space="preserve"> </w:t>
      </w:r>
      <w:r w:rsidR="00B20177" w:rsidRPr="00FE4FBD">
        <w:rPr>
          <w:rFonts w:asciiTheme="minorHAnsi" w:hAnsiTheme="minorHAnsi" w:cstheme="minorHAnsi"/>
          <w:w w:val="105"/>
        </w:rPr>
        <w:t>Inc.</w:t>
      </w:r>
      <w:r w:rsidR="00B20177" w:rsidRPr="00FE4FBD">
        <w:rPr>
          <w:rFonts w:asciiTheme="minorHAnsi" w:hAnsiTheme="minorHAnsi" w:cstheme="minorHAnsi"/>
          <w:spacing w:val="-5"/>
          <w:w w:val="105"/>
        </w:rPr>
        <w:t xml:space="preserve"> </w:t>
      </w:r>
      <w:r w:rsidR="00B20177" w:rsidRPr="00FE4FBD">
        <w:rPr>
          <w:rFonts w:asciiTheme="minorHAnsi" w:hAnsiTheme="minorHAnsi" w:cstheme="minorHAnsi"/>
          <w:w w:val="105"/>
        </w:rPr>
        <w:t>Project), and (iii) pay certain costs of issuance of the Series 2014 Bonds.</w:t>
      </w:r>
    </w:p>
    <w:p w14:paraId="68B25989" w14:textId="77777777" w:rsidR="00B25BF7" w:rsidRPr="00FE4FBD" w:rsidRDefault="00B20177" w:rsidP="008E51D9">
      <w:pPr>
        <w:pStyle w:val="ParaNORMAL"/>
        <w:rPr>
          <w:rFonts w:asciiTheme="minorHAnsi" w:hAnsiTheme="minorHAnsi" w:cstheme="minorHAnsi"/>
        </w:rPr>
      </w:pPr>
      <w:r w:rsidRPr="00FE4FBD">
        <w:rPr>
          <w:rFonts w:asciiTheme="minorHAnsi" w:hAnsiTheme="minorHAnsi" w:cstheme="minorHAnsi"/>
        </w:rPr>
        <w:t>The proceeds of the Series 2013A Bonds were used, together with certain other moneys, to:</w:t>
      </w:r>
      <w:r w:rsidR="004E5986" w:rsidRPr="00FE4FBD">
        <w:rPr>
          <w:rFonts w:asciiTheme="minorHAnsi" w:hAnsiTheme="minorHAnsi" w:cstheme="minorHAnsi"/>
        </w:rPr>
        <w:t xml:space="preserve"> (i) refund the outstanding Brevard County </w:t>
      </w:r>
      <w:r w:rsidR="004E5986" w:rsidRPr="00FE4FBD">
        <w:rPr>
          <w:rFonts w:asciiTheme="minorHAnsi" w:hAnsiTheme="minorHAnsi" w:cstheme="minorHAnsi"/>
          <w:w w:val="105"/>
        </w:rPr>
        <w:t>Health Facilities Authority</w:t>
      </w:r>
      <w:r w:rsidR="004E5986" w:rsidRPr="00FE4FBD">
        <w:rPr>
          <w:rFonts w:asciiTheme="minorHAnsi" w:hAnsiTheme="minorHAnsi" w:cstheme="minorHAnsi"/>
          <w:spacing w:val="3"/>
          <w:w w:val="105"/>
        </w:rPr>
        <w:t xml:space="preserve"> Health Facilities </w:t>
      </w:r>
      <w:r w:rsidR="004E5986" w:rsidRPr="00FE4FBD">
        <w:rPr>
          <w:rFonts w:asciiTheme="minorHAnsi" w:hAnsiTheme="minorHAnsi" w:cstheme="minorHAnsi"/>
          <w:w w:val="105"/>
        </w:rPr>
        <w:t>Revenue Bonds,</w:t>
      </w:r>
      <w:r w:rsidR="004E5986" w:rsidRPr="00FE4FBD">
        <w:rPr>
          <w:rFonts w:asciiTheme="minorHAnsi" w:hAnsiTheme="minorHAnsi" w:cstheme="minorHAnsi"/>
          <w:spacing w:val="-6"/>
          <w:w w:val="105"/>
        </w:rPr>
        <w:t xml:space="preserve"> </w:t>
      </w:r>
      <w:r w:rsidR="004E5986" w:rsidRPr="00FE4FBD">
        <w:rPr>
          <w:rFonts w:asciiTheme="minorHAnsi" w:hAnsiTheme="minorHAnsi" w:cstheme="minorHAnsi"/>
          <w:w w:val="105"/>
        </w:rPr>
        <w:t>Series</w:t>
      </w:r>
      <w:r w:rsidR="004E5986" w:rsidRPr="00FE4FBD">
        <w:rPr>
          <w:rFonts w:asciiTheme="minorHAnsi" w:hAnsiTheme="minorHAnsi" w:cstheme="minorHAnsi"/>
          <w:spacing w:val="-11"/>
          <w:w w:val="105"/>
        </w:rPr>
        <w:t xml:space="preserve"> </w:t>
      </w:r>
      <w:r w:rsidR="004E5986" w:rsidRPr="00FE4FBD">
        <w:rPr>
          <w:rFonts w:asciiTheme="minorHAnsi" w:hAnsiTheme="minorHAnsi" w:cstheme="minorHAnsi"/>
          <w:w w:val="105"/>
        </w:rPr>
        <w:t>2001</w:t>
      </w:r>
      <w:r w:rsidR="004E5986" w:rsidRPr="00FE4FBD">
        <w:rPr>
          <w:rFonts w:asciiTheme="minorHAnsi" w:hAnsiTheme="minorHAnsi" w:cstheme="minorHAnsi"/>
          <w:spacing w:val="-8"/>
          <w:w w:val="105"/>
        </w:rPr>
        <w:t xml:space="preserve"> </w:t>
      </w:r>
      <w:r w:rsidR="004E5986" w:rsidRPr="00FE4FBD">
        <w:rPr>
          <w:rFonts w:asciiTheme="minorHAnsi" w:hAnsiTheme="minorHAnsi" w:cstheme="minorHAnsi"/>
          <w:w w:val="105"/>
        </w:rPr>
        <w:t>(Health</w:t>
      </w:r>
      <w:r w:rsidR="004E5986" w:rsidRPr="00FE4FBD">
        <w:rPr>
          <w:rFonts w:asciiTheme="minorHAnsi" w:hAnsiTheme="minorHAnsi" w:cstheme="minorHAnsi"/>
          <w:spacing w:val="-7"/>
          <w:w w:val="105"/>
        </w:rPr>
        <w:t xml:space="preserve"> </w:t>
      </w:r>
      <w:r w:rsidR="004E5986" w:rsidRPr="00FE4FBD">
        <w:rPr>
          <w:rFonts w:asciiTheme="minorHAnsi" w:hAnsiTheme="minorHAnsi" w:cstheme="minorHAnsi"/>
          <w:w w:val="105"/>
        </w:rPr>
        <w:t>First,</w:t>
      </w:r>
      <w:r w:rsidR="004E5986" w:rsidRPr="00FE4FBD">
        <w:rPr>
          <w:rFonts w:asciiTheme="minorHAnsi" w:hAnsiTheme="minorHAnsi" w:cstheme="minorHAnsi"/>
          <w:spacing w:val="-8"/>
          <w:w w:val="105"/>
        </w:rPr>
        <w:t xml:space="preserve"> </w:t>
      </w:r>
      <w:r w:rsidR="004E5986" w:rsidRPr="00FE4FBD">
        <w:rPr>
          <w:rFonts w:asciiTheme="minorHAnsi" w:hAnsiTheme="minorHAnsi" w:cstheme="minorHAnsi"/>
          <w:w w:val="105"/>
        </w:rPr>
        <w:t>Inc.</w:t>
      </w:r>
      <w:r w:rsidR="004E5986" w:rsidRPr="00FE4FBD">
        <w:rPr>
          <w:rFonts w:asciiTheme="minorHAnsi" w:hAnsiTheme="minorHAnsi" w:cstheme="minorHAnsi"/>
          <w:spacing w:val="-5"/>
          <w:w w:val="105"/>
        </w:rPr>
        <w:t xml:space="preserve"> </w:t>
      </w:r>
      <w:r w:rsidR="004E5986" w:rsidRPr="00FE4FBD">
        <w:rPr>
          <w:rFonts w:asciiTheme="minorHAnsi" w:hAnsiTheme="minorHAnsi" w:cstheme="minorHAnsi"/>
          <w:w w:val="105"/>
        </w:rPr>
        <w:t xml:space="preserve">Project), (ii) refund all outstanding </w:t>
      </w:r>
      <w:r w:rsidR="004E5986" w:rsidRPr="00FE4FBD">
        <w:rPr>
          <w:rFonts w:asciiTheme="minorHAnsi" w:hAnsiTheme="minorHAnsi" w:cstheme="minorHAnsi"/>
        </w:rPr>
        <w:t xml:space="preserve">Brevard County </w:t>
      </w:r>
      <w:r w:rsidR="004E5986" w:rsidRPr="00FE4FBD">
        <w:rPr>
          <w:rFonts w:asciiTheme="minorHAnsi" w:hAnsiTheme="minorHAnsi" w:cstheme="minorHAnsi"/>
          <w:w w:val="105"/>
        </w:rPr>
        <w:t>Health Facilities Authority</w:t>
      </w:r>
      <w:r w:rsidR="004E5986" w:rsidRPr="00FE4FBD">
        <w:rPr>
          <w:rFonts w:asciiTheme="minorHAnsi" w:hAnsiTheme="minorHAnsi" w:cstheme="minorHAnsi"/>
          <w:spacing w:val="3"/>
          <w:w w:val="105"/>
        </w:rPr>
        <w:t xml:space="preserve"> Health Facilities </w:t>
      </w:r>
      <w:r w:rsidR="004E5986" w:rsidRPr="00FE4FBD">
        <w:rPr>
          <w:rFonts w:asciiTheme="minorHAnsi" w:hAnsiTheme="minorHAnsi" w:cstheme="minorHAnsi"/>
          <w:w w:val="105"/>
        </w:rPr>
        <w:t>Revenue Bonds,</w:t>
      </w:r>
      <w:r w:rsidR="004E5986" w:rsidRPr="00FE4FBD">
        <w:rPr>
          <w:rFonts w:asciiTheme="minorHAnsi" w:hAnsiTheme="minorHAnsi" w:cstheme="minorHAnsi"/>
          <w:spacing w:val="-6"/>
          <w:w w:val="105"/>
        </w:rPr>
        <w:t xml:space="preserve"> </w:t>
      </w:r>
      <w:r w:rsidR="004E5986" w:rsidRPr="00FE4FBD">
        <w:rPr>
          <w:rFonts w:asciiTheme="minorHAnsi" w:hAnsiTheme="minorHAnsi" w:cstheme="minorHAnsi"/>
          <w:w w:val="105"/>
        </w:rPr>
        <w:t>Series</w:t>
      </w:r>
      <w:r w:rsidR="004E5986" w:rsidRPr="00FE4FBD">
        <w:rPr>
          <w:rFonts w:asciiTheme="minorHAnsi" w:hAnsiTheme="minorHAnsi" w:cstheme="minorHAnsi"/>
          <w:spacing w:val="-11"/>
          <w:w w:val="105"/>
        </w:rPr>
        <w:t xml:space="preserve"> </w:t>
      </w:r>
      <w:r w:rsidR="004E5986" w:rsidRPr="00FE4FBD">
        <w:rPr>
          <w:rFonts w:asciiTheme="minorHAnsi" w:hAnsiTheme="minorHAnsi" w:cstheme="minorHAnsi"/>
          <w:w w:val="105"/>
        </w:rPr>
        <w:t>2010</w:t>
      </w:r>
      <w:r w:rsidR="004E5986" w:rsidRPr="00FE4FBD">
        <w:rPr>
          <w:rFonts w:asciiTheme="minorHAnsi" w:hAnsiTheme="minorHAnsi" w:cstheme="minorHAnsi"/>
          <w:spacing w:val="-8"/>
          <w:w w:val="105"/>
        </w:rPr>
        <w:t xml:space="preserve"> </w:t>
      </w:r>
      <w:r w:rsidR="004E5986" w:rsidRPr="00FE4FBD">
        <w:rPr>
          <w:rFonts w:asciiTheme="minorHAnsi" w:hAnsiTheme="minorHAnsi" w:cstheme="minorHAnsi"/>
          <w:w w:val="105"/>
        </w:rPr>
        <w:t>(Health</w:t>
      </w:r>
      <w:r w:rsidR="004E5986" w:rsidRPr="00FE4FBD">
        <w:rPr>
          <w:rFonts w:asciiTheme="minorHAnsi" w:hAnsiTheme="minorHAnsi" w:cstheme="minorHAnsi"/>
          <w:spacing w:val="-7"/>
          <w:w w:val="105"/>
        </w:rPr>
        <w:t xml:space="preserve"> </w:t>
      </w:r>
      <w:r w:rsidR="004E5986" w:rsidRPr="00FE4FBD">
        <w:rPr>
          <w:rFonts w:asciiTheme="minorHAnsi" w:hAnsiTheme="minorHAnsi" w:cstheme="minorHAnsi"/>
          <w:w w:val="105"/>
        </w:rPr>
        <w:t>First,</w:t>
      </w:r>
      <w:r w:rsidR="004E5986" w:rsidRPr="00FE4FBD">
        <w:rPr>
          <w:rFonts w:asciiTheme="minorHAnsi" w:hAnsiTheme="minorHAnsi" w:cstheme="minorHAnsi"/>
          <w:spacing w:val="-8"/>
          <w:w w:val="105"/>
        </w:rPr>
        <w:t xml:space="preserve"> </w:t>
      </w:r>
      <w:r w:rsidR="004E5986" w:rsidRPr="00FE4FBD">
        <w:rPr>
          <w:rFonts w:asciiTheme="minorHAnsi" w:hAnsiTheme="minorHAnsi" w:cstheme="minorHAnsi"/>
          <w:w w:val="105"/>
        </w:rPr>
        <w:t>Inc.</w:t>
      </w:r>
      <w:r w:rsidR="004E5986" w:rsidRPr="00FE4FBD">
        <w:rPr>
          <w:rFonts w:asciiTheme="minorHAnsi" w:hAnsiTheme="minorHAnsi" w:cstheme="minorHAnsi"/>
          <w:spacing w:val="-5"/>
          <w:w w:val="105"/>
        </w:rPr>
        <w:t xml:space="preserve"> </w:t>
      </w:r>
      <w:r w:rsidR="004E5986" w:rsidRPr="00FE4FBD">
        <w:rPr>
          <w:rFonts w:asciiTheme="minorHAnsi" w:hAnsiTheme="minorHAnsi" w:cstheme="minorHAnsi"/>
          <w:w w:val="105"/>
        </w:rPr>
        <w:t>Project), and (iii) pay certain costs of issuance of the Series 2013</w:t>
      </w:r>
      <w:r w:rsidR="00B466A9" w:rsidRPr="00FE4FBD">
        <w:rPr>
          <w:rFonts w:asciiTheme="minorHAnsi" w:hAnsiTheme="minorHAnsi" w:cstheme="minorHAnsi"/>
          <w:w w:val="105"/>
        </w:rPr>
        <w:t>A</w:t>
      </w:r>
      <w:r w:rsidR="004E5986" w:rsidRPr="00FE4FBD">
        <w:rPr>
          <w:rFonts w:asciiTheme="minorHAnsi" w:hAnsiTheme="minorHAnsi" w:cstheme="minorHAnsi"/>
          <w:w w:val="105"/>
        </w:rPr>
        <w:t xml:space="preserve"> Bonds.</w:t>
      </w:r>
    </w:p>
    <w:p w14:paraId="1D21CC91" w14:textId="77777777" w:rsidR="00B25BF7" w:rsidRPr="00FE4FBD" w:rsidRDefault="00B20177" w:rsidP="008E51D9">
      <w:pPr>
        <w:pStyle w:val="ParaNORMAL"/>
        <w:rPr>
          <w:rFonts w:asciiTheme="minorHAnsi" w:hAnsiTheme="minorHAnsi" w:cstheme="minorHAnsi"/>
        </w:rPr>
      </w:pPr>
      <w:r w:rsidRPr="00FE4FBD">
        <w:rPr>
          <w:rFonts w:asciiTheme="minorHAnsi" w:hAnsiTheme="minorHAnsi" w:cstheme="minorHAnsi"/>
        </w:rPr>
        <w:t>The proceeds of the Series 2009A Bonds were used, together with certain other moneys, to:</w:t>
      </w:r>
      <w:r w:rsidR="006F2177" w:rsidRPr="00FE4FBD">
        <w:rPr>
          <w:rFonts w:asciiTheme="minorHAnsi" w:hAnsiTheme="minorHAnsi" w:cstheme="minorHAnsi"/>
        </w:rPr>
        <w:t xml:space="preserve"> (i) finance, refinance, or reimburse one or more of the Borrowers for their respective payment </w:t>
      </w:r>
      <w:r w:rsidR="006F2177" w:rsidRPr="00FE4FBD">
        <w:rPr>
          <w:rFonts w:asciiTheme="minorHAnsi" w:hAnsiTheme="minorHAnsi" w:cstheme="minorHAnsi"/>
        </w:rPr>
        <w:lastRenderedPageBreak/>
        <w:t>of the costs of certain capital improvements to and equipment for certain of their health care facilities, and (ii) pay certain costs of issuance of the Series 2009A Bonds.</w:t>
      </w:r>
    </w:p>
    <w:p w14:paraId="34B18A74" w14:textId="44B8AD8C" w:rsidR="00BE1863" w:rsidRPr="00FE4FBD" w:rsidRDefault="00D854A8" w:rsidP="00BE1863">
      <w:pPr>
        <w:pStyle w:val="ParaNORMAL"/>
        <w:rPr>
          <w:rFonts w:asciiTheme="minorHAnsi" w:hAnsiTheme="minorHAnsi" w:cstheme="minorHAnsi"/>
        </w:rPr>
      </w:pPr>
      <w:r w:rsidRPr="00FE4FBD">
        <w:rPr>
          <w:rFonts w:asciiTheme="minorHAnsi" w:hAnsiTheme="minorHAnsi" w:cstheme="minorHAnsi"/>
        </w:rPr>
        <w:t xml:space="preserve">The Bonds will be qualified 501(c)(3) bonds (as defined in Section 145 of the Internal Revenue Code of 1986, as amended), and the proceeds of the Bonds </w:t>
      </w:r>
      <w:r w:rsidR="00B20177" w:rsidRPr="00FE4FBD">
        <w:rPr>
          <w:rFonts w:asciiTheme="minorHAnsi" w:hAnsiTheme="minorHAnsi" w:cstheme="minorHAnsi"/>
        </w:rPr>
        <w:t xml:space="preserve">were or </w:t>
      </w:r>
      <w:r w:rsidR="008E51D9" w:rsidRPr="00FE4FBD">
        <w:rPr>
          <w:rFonts w:asciiTheme="minorHAnsi" w:hAnsiTheme="minorHAnsi" w:cstheme="minorHAnsi"/>
        </w:rPr>
        <w:t>will be used</w:t>
      </w:r>
      <w:r w:rsidRPr="00FE4FBD">
        <w:rPr>
          <w:rFonts w:asciiTheme="minorHAnsi" w:hAnsiTheme="minorHAnsi" w:cstheme="minorHAnsi"/>
        </w:rPr>
        <w:t xml:space="preserve"> </w:t>
      </w:r>
      <w:r w:rsidR="008E51D9" w:rsidRPr="00FE4FBD">
        <w:rPr>
          <w:rFonts w:asciiTheme="minorHAnsi" w:hAnsiTheme="minorHAnsi" w:cstheme="minorHAnsi"/>
        </w:rPr>
        <w:t xml:space="preserve">to finance, refinance or reimburse the costs of acquiring, constructing, improving or renovating the facilities (including related land improvement costs) listed below and the costs of acquiring and installing equipment (including, but not limited to, medical equipment, computer equipment, office equipment and general building equipment and fixtures) </w:t>
      </w:r>
      <w:r w:rsidR="00B20177" w:rsidRPr="00FE4FBD">
        <w:rPr>
          <w:rFonts w:asciiTheme="minorHAnsi" w:hAnsiTheme="minorHAnsi" w:cstheme="minorHAnsi"/>
        </w:rPr>
        <w:t xml:space="preserve">used or </w:t>
      </w:r>
      <w:r w:rsidR="008E51D9" w:rsidRPr="00FE4FBD">
        <w:rPr>
          <w:rFonts w:asciiTheme="minorHAnsi" w:hAnsiTheme="minorHAnsi" w:cstheme="minorHAnsi"/>
        </w:rPr>
        <w:t>to be used at the facilities listed below</w:t>
      </w:r>
      <w:r w:rsidRPr="00FE4FBD">
        <w:rPr>
          <w:rFonts w:asciiTheme="minorHAnsi" w:hAnsiTheme="minorHAnsi" w:cstheme="minorHAnsi"/>
        </w:rPr>
        <w:t>.  A general functional description of the type and use of the facility and the location of each such facility</w:t>
      </w:r>
      <w:r w:rsidR="00B20177" w:rsidRPr="00FE4FBD">
        <w:rPr>
          <w:rFonts w:asciiTheme="minorHAnsi" w:hAnsiTheme="minorHAnsi" w:cstheme="minorHAnsi"/>
        </w:rPr>
        <w:t xml:space="preserve"> to be financed or refinanced with the proceeds of the Bonds are listed below.  Additionally, the estimated maximum aggregate principal amount of new money proceeds of the Bonds to be issued with respect to each such facility, are listed below.</w:t>
      </w:r>
      <w:r w:rsidR="00BE1863" w:rsidRPr="00FE4FBD">
        <w:rPr>
          <w:rFonts w:asciiTheme="minorHAnsi" w:hAnsiTheme="minorHAnsi" w:cstheme="minorHAnsi"/>
        </w:rPr>
        <w:t xml:space="preserve"> </w:t>
      </w:r>
    </w:p>
    <w:p w14:paraId="1A194B53" w14:textId="7BE69BDD" w:rsidR="008E51D9" w:rsidRPr="00FE4FBD" w:rsidRDefault="00BE1863" w:rsidP="008E51D9">
      <w:pPr>
        <w:pStyle w:val="ParaNUMBERED"/>
        <w:rPr>
          <w:rFonts w:asciiTheme="minorHAnsi" w:hAnsiTheme="minorHAnsi" w:cstheme="minorHAnsi"/>
        </w:rPr>
      </w:pPr>
      <w:r>
        <w:rPr>
          <w:rFonts w:asciiTheme="minorHAnsi" w:hAnsiTheme="minorHAnsi" w:cstheme="minorHAnsi"/>
        </w:rPr>
        <w:tab/>
      </w:r>
      <w:r w:rsidR="00B20177" w:rsidRPr="00FE4FBD">
        <w:rPr>
          <w:rFonts w:asciiTheme="minorHAnsi" w:hAnsiTheme="minorHAnsi" w:cstheme="minorHAnsi"/>
        </w:rPr>
        <w:t>1.</w:t>
      </w:r>
      <w:r w:rsidR="00B20177" w:rsidRPr="00FE4FBD">
        <w:rPr>
          <w:rFonts w:asciiTheme="minorHAnsi" w:hAnsiTheme="minorHAnsi" w:cstheme="minorHAnsi"/>
        </w:rPr>
        <w:tab/>
      </w:r>
      <w:r w:rsidR="0054778B" w:rsidRPr="00FE4FBD">
        <w:rPr>
          <w:rFonts w:asciiTheme="minorHAnsi" w:hAnsiTheme="minorHAnsi" w:cstheme="minorHAnsi"/>
        </w:rPr>
        <w:t>Holmes Regional Medical Center</w:t>
      </w:r>
      <w:r w:rsidR="0024742E" w:rsidRPr="00FE4FBD">
        <w:rPr>
          <w:rFonts w:asciiTheme="minorHAnsi" w:hAnsiTheme="minorHAnsi" w:cstheme="minorHAnsi"/>
        </w:rPr>
        <w:t xml:space="preserve"> Campus</w:t>
      </w:r>
      <w:r w:rsidR="00B7320E" w:rsidRPr="00FE4FBD">
        <w:rPr>
          <w:rFonts w:asciiTheme="minorHAnsi" w:hAnsiTheme="minorHAnsi" w:cstheme="minorHAnsi"/>
        </w:rPr>
        <w:t xml:space="preserve">:  includes </w:t>
      </w:r>
      <w:r w:rsidR="0054778B" w:rsidRPr="00FE4FBD">
        <w:rPr>
          <w:rFonts w:asciiTheme="minorHAnsi" w:hAnsiTheme="minorHAnsi" w:cstheme="minorHAnsi"/>
        </w:rPr>
        <w:t>a 5</w:t>
      </w:r>
      <w:r w:rsidR="008C426C" w:rsidRPr="00FE4FBD">
        <w:rPr>
          <w:rFonts w:asciiTheme="minorHAnsi" w:hAnsiTheme="minorHAnsi" w:cstheme="minorHAnsi"/>
        </w:rPr>
        <w:t>50</w:t>
      </w:r>
      <w:r w:rsidR="0054778B" w:rsidRPr="00FE4FBD">
        <w:rPr>
          <w:rFonts w:asciiTheme="minorHAnsi" w:hAnsiTheme="minorHAnsi" w:cstheme="minorHAnsi"/>
        </w:rPr>
        <w:t>-bed acute care hospital</w:t>
      </w:r>
      <w:r w:rsidR="001E70EB" w:rsidRPr="00FE4FBD">
        <w:rPr>
          <w:rFonts w:asciiTheme="minorHAnsi" w:hAnsiTheme="minorHAnsi" w:cstheme="minorHAnsi"/>
        </w:rPr>
        <w:t xml:space="preserve">, and the related land, parking garages, office buildings, wellness centers, </w:t>
      </w:r>
      <w:r w:rsidR="00C057CF" w:rsidRPr="00FE4FBD">
        <w:rPr>
          <w:rFonts w:asciiTheme="minorHAnsi" w:hAnsiTheme="minorHAnsi" w:cstheme="minorHAnsi"/>
        </w:rPr>
        <w:t xml:space="preserve">hospice facilities, </w:t>
      </w:r>
      <w:r w:rsidR="001E70EB" w:rsidRPr="00FE4FBD">
        <w:rPr>
          <w:rFonts w:asciiTheme="minorHAnsi" w:hAnsiTheme="minorHAnsi" w:cstheme="minorHAnsi"/>
        </w:rPr>
        <w:t xml:space="preserve">medical education facilities, clinics, warehouses and other buildings </w:t>
      </w:r>
      <w:r w:rsidR="0054778B" w:rsidRPr="00FE4FBD">
        <w:rPr>
          <w:rFonts w:asciiTheme="minorHAnsi" w:hAnsiTheme="minorHAnsi" w:cstheme="minorHAnsi"/>
        </w:rPr>
        <w:t>located at 1350</w:t>
      </w:r>
      <w:r w:rsidR="00BA2FBE" w:rsidRPr="00FE4FBD">
        <w:rPr>
          <w:rFonts w:asciiTheme="minorHAnsi" w:hAnsiTheme="minorHAnsi" w:cstheme="minorHAnsi"/>
        </w:rPr>
        <w:t xml:space="preserve"> and 1051</w:t>
      </w:r>
      <w:r w:rsidR="0054778B" w:rsidRPr="00FE4FBD">
        <w:rPr>
          <w:rFonts w:asciiTheme="minorHAnsi" w:hAnsiTheme="minorHAnsi" w:cstheme="minorHAnsi"/>
        </w:rPr>
        <w:t xml:space="preserve"> Hickory Street</w:t>
      </w:r>
      <w:r w:rsidR="00AD39D8" w:rsidRPr="00FE4FBD">
        <w:rPr>
          <w:rFonts w:asciiTheme="minorHAnsi" w:hAnsiTheme="minorHAnsi" w:cstheme="minorHAnsi"/>
        </w:rPr>
        <w:t>,</w:t>
      </w:r>
      <w:r w:rsidR="00303DDC" w:rsidRPr="00FE4FBD">
        <w:rPr>
          <w:rFonts w:asciiTheme="minorHAnsi" w:hAnsiTheme="minorHAnsi" w:cstheme="minorHAnsi"/>
        </w:rPr>
        <w:t xml:space="preserve"> Melbourne, Florida</w:t>
      </w:r>
      <w:r w:rsidR="0024742E" w:rsidRPr="00FE4FBD">
        <w:rPr>
          <w:rFonts w:asciiTheme="minorHAnsi" w:hAnsiTheme="minorHAnsi" w:cstheme="minorHAnsi"/>
        </w:rPr>
        <w:t xml:space="preserve"> and on an approximately </w:t>
      </w:r>
      <w:r w:rsidR="008C426C" w:rsidRPr="00FE4FBD">
        <w:rPr>
          <w:rFonts w:asciiTheme="minorHAnsi" w:hAnsiTheme="minorHAnsi" w:cstheme="minorHAnsi"/>
        </w:rPr>
        <w:t>21-</w:t>
      </w:r>
      <w:r w:rsidR="0024742E" w:rsidRPr="00FE4FBD">
        <w:rPr>
          <w:rFonts w:asciiTheme="minorHAnsi" w:hAnsiTheme="minorHAnsi" w:cstheme="minorHAnsi"/>
        </w:rPr>
        <w:t xml:space="preserve">acre tract of land across Hickory Street from the main hospital facility, </w:t>
      </w:r>
      <w:r w:rsidR="0024742E" w:rsidRPr="00FE4FBD">
        <w:rPr>
          <w:rFonts w:asciiTheme="minorHAnsi" w:eastAsia="Arial" w:hAnsiTheme="minorHAnsi" w:cstheme="minorHAnsi"/>
          <w:szCs w:val="24"/>
        </w:rPr>
        <w:t>between East Sheridan Road on the north and East Hibiscus Blvd to the south and bordered generally on east by the City of Melbourne Cemetery</w:t>
      </w:r>
      <w:r w:rsidR="00303DDC" w:rsidRPr="00FE4FBD">
        <w:rPr>
          <w:rFonts w:asciiTheme="minorHAnsi" w:hAnsiTheme="minorHAnsi" w:cstheme="minorHAnsi"/>
        </w:rPr>
        <w:t xml:space="preserve"> (</w:t>
      </w:r>
      <w:r w:rsidR="0024742E" w:rsidRPr="00FE4FBD">
        <w:rPr>
          <w:rFonts w:asciiTheme="minorHAnsi" w:hAnsiTheme="minorHAnsi" w:cstheme="minorHAnsi"/>
        </w:rPr>
        <w:t xml:space="preserve">collectively, </w:t>
      </w:r>
      <w:r w:rsidR="00303DDC" w:rsidRPr="00FE4FBD">
        <w:rPr>
          <w:rFonts w:asciiTheme="minorHAnsi" w:hAnsiTheme="minorHAnsi" w:cstheme="minorHAnsi"/>
        </w:rPr>
        <w:t xml:space="preserve">the “Holmes Regional Facilities”).  Holmes is the initial owner and </w:t>
      </w:r>
      <w:r w:rsidR="002D76CB" w:rsidRPr="00FE4FBD">
        <w:rPr>
          <w:rFonts w:asciiTheme="minorHAnsi" w:hAnsiTheme="minorHAnsi" w:cstheme="minorHAnsi"/>
        </w:rPr>
        <w:t>principal user</w:t>
      </w:r>
      <w:r w:rsidR="00303DDC" w:rsidRPr="00FE4FBD">
        <w:rPr>
          <w:rFonts w:asciiTheme="minorHAnsi" w:hAnsiTheme="minorHAnsi" w:cstheme="minorHAnsi"/>
        </w:rPr>
        <w:t xml:space="preserve"> of the Holmes Regional Facilities described in this paragraph and it is expected that not more than $</w:t>
      </w:r>
      <w:r w:rsidR="0024742E" w:rsidRPr="00FE4FBD">
        <w:rPr>
          <w:rFonts w:asciiTheme="minorHAnsi" w:hAnsiTheme="minorHAnsi" w:cstheme="minorHAnsi"/>
        </w:rPr>
        <w:t>119,000,000</w:t>
      </w:r>
      <w:r w:rsidR="00303DDC" w:rsidRPr="00FE4FBD">
        <w:rPr>
          <w:rFonts w:asciiTheme="minorHAnsi" w:hAnsiTheme="minorHAnsi" w:cstheme="minorHAnsi"/>
          <w:b/>
          <w:bCs/>
        </w:rPr>
        <w:t xml:space="preserve"> </w:t>
      </w:r>
      <w:r w:rsidR="00303DDC" w:rsidRPr="00FE4FBD">
        <w:rPr>
          <w:rFonts w:asciiTheme="minorHAnsi" w:hAnsiTheme="minorHAnsi" w:cstheme="minorHAnsi"/>
        </w:rPr>
        <w:t xml:space="preserve">in </w:t>
      </w:r>
      <w:r w:rsidR="002D76CB" w:rsidRPr="00FE4FBD">
        <w:rPr>
          <w:rFonts w:asciiTheme="minorHAnsi" w:hAnsiTheme="minorHAnsi" w:cstheme="minorHAnsi"/>
        </w:rPr>
        <w:t>aggregate principal amount</w:t>
      </w:r>
      <w:r w:rsidR="00303DDC" w:rsidRPr="00FE4FBD">
        <w:rPr>
          <w:rFonts w:asciiTheme="minorHAnsi" w:hAnsiTheme="minorHAnsi" w:cstheme="minorHAnsi"/>
        </w:rPr>
        <w:t xml:space="preserve"> of the Bonds will be spent on the portion of the Project allocable to the Holmes Regional Facilities.</w:t>
      </w:r>
      <w:r w:rsidR="00396969" w:rsidRPr="00FE4FBD">
        <w:rPr>
          <w:rFonts w:asciiTheme="minorHAnsi" w:hAnsiTheme="minorHAnsi" w:cstheme="minorHAnsi"/>
        </w:rPr>
        <w:t xml:space="preserve">  A portion of the Holmes Regional Facilities are </w:t>
      </w:r>
      <w:r w:rsidR="00677D02" w:rsidRPr="00FE4FBD">
        <w:rPr>
          <w:rFonts w:asciiTheme="minorHAnsi" w:hAnsiTheme="minorHAnsi" w:cstheme="minorHAnsi"/>
        </w:rPr>
        <w:t xml:space="preserve">also </w:t>
      </w:r>
      <w:r w:rsidR="00396969" w:rsidRPr="00FE4FBD">
        <w:rPr>
          <w:rFonts w:asciiTheme="minorHAnsi" w:hAnsiTheme="minorHAnsi" w:cstheme="minorHAnsi"/>
        </w:rPr>
        <w:t>being refinanced with the proceeds of the Bonds through the refunding of the Prior Bonds.</w:t>
      </w:r>
    </w:p>
    <w:p w14:paraId="576B780E" w14:textId="77777777" w:rsidR="00AD39D8" w:rsidRPr="00FE4FBD" w:rsidRDefault="00B20177" w:rsidP="00303DDC">
      <w:pPr>
        <w:pStyle w:val="ParaNUMBERED"/>
        <w:rPr>
          <w:rFonts w:asciiTheme="minorHAnsi" w:hAnsiTheme="minorHAnsi" w:cstheme="minorHAnsi"/>
        </w:rPr>
      </w:pPr>
      <w:r w:rsidRPr="00FE4FBD">
        <w:rPr>
          <w:rFonts w:asciiTheme="minorHAnsi" w:hAnsiTheme="minorHAnsi" w:cstheme="minorHAnsi"/>
        </w:rPr>
        <w:tab/>
      </w:r>
      <w:r w:rsidR="0024742E" w:rsidRPr="00FE4FBD">
        <w:rPr>
          <w:rFonts w:asciiTheme="minorHAnsi" w:hAnsiTheme="minorHAnsi" w:cstheme="minorHAnsi"/>
        </w:rPr>
        <w:t>2</w:t>
      </w:r>
      <w:r w:rsidRPr="00FE4FBD">
        <w:rPr>
          <w:rFonts w:asciiTheme="minorHAnsi" w:hAnsiTheme="minorHAnsi" w:cstheme="minorHAnsi"/>
        </w:rPr>
        <w:t>.</w:t>
      </w:r>
      <w:r w:rsidRPr="00FE4FBD">
        <w:rPr>
          <w:rFonts w:asciiTheme="minorHAnsi" w:hAnsiTheme="minorHAnsi" w:cstheme="minorHAnsi"/>
        </w:rPr>
        <w:tab/>
        <w:t>Palm Bay Hospital</w:t>
      </w:r>
      <w:r w:rsidR="00B7320E" w:rsidRPr="00FE4FBD">
        <w:rPr>
          <w:rFonts w:asciiTheme="minorHAnsi" w:hAnsiTheme="minorHAnsi" w:cstheme="minorHAnsi"/>
        </w:rPr>
        <w:t xml:space="preserve"> Campus: includes</w:t>
      </w:r>
      <w:r w:rsidRPr="00FE4FBD">
        <w:rPr>
          <w:rFonts w:asciiTheme="minorHAnsi" w:hAnsiTheme="minorHAnsi" w:cstheme="minorHAnsi"/>
        </w:rPr>
        <w:t xml:space="preserve">, a 120-bed acute care hospital, and the related land, parking garages, office buildings, wellness centers, </w:t>
      </w:r>
      <w:r w:rsidR="00C057CF" w:rsidRPr="00FE4FBD">
        <w:rPr>
          <w:rFonts w:asciiTheme="minorHAnsi" w:hAnsiTheme="minorHAnsi" w:cstheme="minorHAnsi"/>
        </w:rPr>
        <w:t xml:space="preserve">hospice facilities, </w:t>
      </w:r>
      <w:r w:rsidRPr="00FE4FBD">
        <w:rPr>
          <w:rFonts w:asciiTheme="minorHAnsi" w:hAnsiTheme="minorHAnsi" w:cstheme="minorHAnsi"/>
        </w:rPr>
        <w:t xml:space="preserve">medical education facilities, clinics, warehouses and other buildings located at </w:t>
      </w:r>
      <w:r w:rsidR="00A7516C" w:rsidRPr="00FE4FBD">
        <w:rPr>
          <w:rFonts w:asciiTheme="minorHAnsi" w:eastAsia="Arial" w:hAnsiTheme="minorHAnsi" w:cstheme="minorHAnsi"/>
          <w:szCs w:val="24"/>
        </w:rPr>
        <w:t>1425 Malabar Road NE, Palm Bay, Florida</w:t>
      </w:r>
      <w:r w:rsidR="00A7516C" w:rsidRPr="00FE4FBD">
        <w:rPr>
          <w:rFonts w:asciiTheme="minorHAnsi" w:eastAsia="Arial" w:hAnsiTheme="minorHAnsi" w:cstheme="minorHAnsi"/>
          <w:b/>
          <w:bCs/>
          <w:szCs w:val="24"/>
        </w:rPr>
        <w:t xml:space="preserve"> </w:t>
      </w:r>
      <w:r w:rsidRPr="00FE4FBD">
        <w:rPr>
          <w:rFonts w:asciiTheme="minorHAnsi" w:hAnsiTheme="minorHAnsi" w:cstheme="minorHAnsi"/>
        </w:rPr>
        <w:t xml:space="preserve">(the “Palm Bay Facilities”).  Holmes </w:t>
      </w:r>
      <w:r w:rsidR="002D76CB" w:rsidRPr="00FE4FBD">
        <w:rPr>
          <w:rFonts w:asciiTheme="minorHAnsi" w:hAnsiTheme="minorHAnsi" w:cstheme="minorHAnsi"/>
        </w:rPr>
        <w:t xml:space="preserve">is the initial owner and principal user of the </w:t>
      </w:r>
      <w:r w:rsidRPr="00FE4FBD">
        <w:rPr>
          <w:rFonts w:asciiTheme="minorHAnsi" w:hAnsiTheme="minorHAnsi" w:cstheme="minorHAnsi"/>
        </w:rPr>
        <w:t>Palm Bay Facilities described in this paragraph and it is expected that not more than $</w:t>
      </w:r>
      <w:r w:rsidR="008C426C" w:rsidRPr="00FE4FBD">
        <w:rPr>
          <w:rFonts w:asciiTheme="minorHAnsi" w:hAnsiTheme="minorHAnsi" w:cstheme="minorHAnsi"/>
        </w:rPr>
        <w:t>31,000,000</w:t>
      </w:r>
      <w:r w:rsidRPr="00FE4FBD">
        <w:rPr>
          <w:rFonts w:asciiTheme="minorHAnsi" w:hAnsiTheme="minorHAnsi" w:cstheme="minorHAnsi"/>
          <w:b/>
          <w:bCs/>
        </w:rPr>
        <w:t xml:space="preserve"> </w:t>
      </w:r>
      <w:r w:rsidR="002D76CB" w:rsidRPr="00FE4FBD">
        <w:rPr>
          <w:rFonts w:asciiTheme="minorHAnsi" w:hAnsiTheme="minorHAnsi" w:cstheme="minorHAnsi"/>
        </w:rPr>
        <w:t>in aggregate principal amount of the Bonds</w:t>
      </w:r>
      <w:r w:rsidRPr="00FE4FBD">
        <w:rPr>
          <w:rFonts w:asciiTheme="minorHAnsi" w:hAnsiTheme="minorHAnsi" w:cstheme="minorHAnsi"/>
        </w:rPr>
        <w:t xml:space="preserve"> will be spent on the portion of the Project allocable to the Palm Bay Facilities.</w:t>
      </w:r>
      <w:r w:rsidR="00396969" w:rsidRPr="00FE4FBD">
        <w:rPr>
          <w:rFonts w:asciiTheme="minorHAnsi" w:hAnsiTheme="minorHAnsi" w:cstheme="minorHAnsi"/>
        </w:rPr>
        <w:t xml:space="preserve">  A portion of the Palm Bay Facilities are </w:t>
      </w:r>
      <w:r w:rsidR="00677D02" w:rsidRPr="00FE4FBD">
        <w:rPr>
          <w:rFonts w:asciiTheme="minorHAnsi" w:hAnsiTheme="minorHAnsi" w:cstheme="minorHAnsi"/>
        </w:rPr>
        <w:t xml:space="preserve">also </w:t>
      </w:r>
      <w:r w:rsidR="00396969" w:rsidRPr="00FE4FBD">
        <w:rPr>
          <w:rFonts w:asciiTheme="minorHAnsi" w:hAnsiTheme="minorHAnsi" w:cstheme="minorHAnsi"/>
        </w:rPr>
        <w:t>being refinanced with the proceeds of the Bonds through the refunding of the Prior Bonds.</w:t>
      </w:r>
    </w:p>
    <w:p w14:paraId="50E9A72C" w14:textId="77777777" w:rsidR="00303DDC" w:rsidRPr="00FE4FBD" w:rsidRDefault="00B20177" w:rsidP="00303DDC">
      <w:pPr>
        <w:pStyle w:val="ParaNUMBERED"/>
        <w:rPr>
          <w:rFonts w:asciiTheme="minorHAnsi" w:hAnsiTheme="minorHAnsi" w:cstheme="minorHAnsi"/>
        </w:rPr>
      </w:pPr>
      <w:r w:rsidRPr="00FE4FBD">
        <w:rPr>
          <w:rFonts w:asciiTheme="minorHAnsi" w:hAnsiTheme="minorHAnsi" w:cstheme="minorHAnsi"/>
        </w:rPr>
        <w:tab/>
      </w:r>
      <w:r w:rsidR="008C426C" w:rsidRPr="00FE4FBD">
        <w:rPr>
          <w:rFonts w:asciiTheme="minorHAnsi" w:hAnsiTheme="minorHAnsi" w:cstheme="minorHAnsi"/>
        </w:rPr>
        <w:t>3</w:t>
      </w:r>
      <w:r w:rsidRPr="00FE4FBD">
        <w:rPr>
          <w:rFonts w:asciiTheme="minorHAnsi" w:hAnsiTheme="minorHAnsi" w:cstheme="minorHAnsi"/>
        </w:rPr>
        <w:t>.</w:t>
      </w:r>
      <w:r w:rsidRPr="00FE4FBD">
        <w:rPr>
          <w:rFonts w:asciiTheme="minorHAnsi" w:hAnsiTheme="minorHAnsi" w:cstheme="minorHAnsi"/>
        </w:rPr>
        <w:tab/>
        <w:t>Viera Hospital</w:t>
      </w:r>
      <w:r w:rsidR="00B7320E" w:rsidRPr="00FE4FBD">
        <w:rPr>
          <w:rFonts w:asciiTheme="minorHAnsi" w:hAnsiTheme="minorHAnsi" w:cstheme="minorHAnsi"/>
        </w:rPr>
        <w:t xml:space="preserve"> Campus: includes </w:t>
      </w:r>
      <w:r w:rsidRPr="00FE4FBD">
        <w:rPr>
          <w:rFonts w:asciiTheme="minorHAnsi" w:hAnsiTheme="minorHAnsi" w:cstheme="minorHAnsi"/>
        </w:rPr>
        <w:t>a</w:t>
      </w:r>
      <w:r w:rsidR="00CF3FFA" w:rsidRPr="00FE4FBD">
        <w:rPr>
          <w:rFonts w:asciiTheme="minorHAnsi" w:hAnsiTheme="minorHAnsi" w:cstheme="minorHAnsi"/>
        </w:rPr>
        <w:t>n</w:t>
      </w:r>
      <w:r w:rsidRPr="00FE4FBD">
        <w:rPr>
          <w:rFonts w:asciiTheme="minorHAnsi" w:hAnsiTheme="minorHAnsi" w:cstheme="minorHAnsi"/>
        </w:rPr>
        <w:t xml:space="preserve"> 84-bed acute care hospital, and the related land, parking garages, office buildings, wellness centers, </w:t>
      </w:r>
      <w:r w:rsidR="00C057CF" w:rsidRPr="00FE4FBD">
        <w:rPr>
          <w:rFonts w:asciiTheme="minorHAnsi" w:hAnsiTheme="minorHAnsi" w:cstheme="minorHAnsi"/>
        </w:rPr>
        <w:t>hospice facilities</w:t>
      </w:r>
      <w:r w:rsidR="00E158CD" w:rsidRPr="00FE4FBD">
        <w:rPr>
          <w:rFonts w:asciiTheme="minorHAnsi" w:hAnsiTheme="minorHAnsi" w:cstheme="minorHAnsi"/>
        </w:rPr>
        <w:t>,</w:t>
      </w:r>
      <w:r w:rsidR="00C47704" w:rsidRPr="00FE4FBD">
        <w:rPr>
          <w:rFonts w:asciiTheme="minorHAnsi" w:hAnsiTheme="minorHAnsi" w:cstheme="minorHAnsi"/>
        </w:rPr>
        <w:t xml:space="preserve"> </w:t>
      </w:r>
      <w:r w:rsidRPr="00FE4FBD">
        <w:rPr>
          <w:rFonts w:asciiTheme="minorHAnsi" w:hAnsiTheme="minorHAnsi" w:cstheme="minorHAnsi"/>
        </w:rPr>
        <w:t>medical education facilities, clinics, warehouses and other buildings located at 87</w:t>
      </w:r>
      <w:r w:rsidR="00E158CD" w:rsidRPr="00FE4FBD">
        <w:rPr>
          <w:rFonts w:asciiTheme="minorHAnsi" w:hAnsiTheme="minorHAnsi" w:cstheme="minorHAnsi"/>
        </w:rPr>
        <w:t>31</w:t>
      </w:r>
      <w:r w:rsidRPr="00FE4FBD">
        <w:rPr>
          <w:rFonts w:asciiTheme="minorHAnsi" w:hAnsiTheme="minorHAnsi" w:cstheme="minorHAnsi"/>
        </w:rPr>
        <w:t xml:space="preserve"> North Wickham Road, </w:t>
      </w:r>
      <w:r w:rsidR="00AD39D8" w:rsidRPr="00FE4FBD">
        <w:rPr>
          <w:rFonts w:asciiTheme="minorHAnsi" w:hAnsiTheme="minorHAnsi" w:cstheme="minorHAnsi"/>
        </w:rPr>
        <w:t xml:space="preserve">Melbourne, </w:t>
      </w:r>
      <w:proofErr w:type="gramStart"/>
      <w:r w:rsidRPr="00FE4FBD">
        <w:rPr>
          <w:rFonts w:asciiTheme="minorHAnsi" w:hAnsiTheme="minorHAnsi" w:cstheme="minorHAnsi"/>
        </w:rPr>
        <w:t>Florida</w:t>
      </w:r>
      <w:r w:rsidR="00E158CD" w:rsidRPr="00FE4FBD">
        <w:rPr>
          <w:rFonts w:asciiTheme="minorHAnsi" w:hAnsiTheme="minorHAnsi" w:cstheme="minorHAnsi"/>
        </w:rPr>
        <w:t xml:space="preserve"> </w:t>
      </w:r>
      <w:r w:rsidRPr="00FE4FBD">
        <w:rPr>
          <w:rFonts w:asciiTheme="minorHAnsi" w:hAnsiTheme="minorHAnsi" w:cstheme="minorHAnsi"/>
        </w:rPr>
        <w:t xml:space="preserve"> (</w:t>
      </w:r>
      <w:proofErr w:type="gramEnd"/>
      <w:r w:rsidRPr="00FE4FBD">
        <w:rPr>
          <w:rFonts w:asciiTheme="minorHAnsi" w:hAnsiTheme="minorHAnsi" w:cstheme="minorHAnsi"/>
        </w:rPr>
        <w:t>the “</w:t>
      </w:r>
      <w:r w:rsidR="00AD39D8" w:rsidRPr="00FE4FBD">
        <w:rPr>
          <w:rFonts w:asciiTheme="minorHAnsi" w:hAnsiTheme="minorHAnsi" w:cstheme="minorHAnsi"/>
        </w:rPr>
        <w:t>Viera</w:t>
      </w:r>
      <w:r w:rsidRPr="00FE4FBD">
        <w:rPr>
          <w:rFonts w:asciiTheme="minorHAnsi" w:hAnsiTheme="minorHAnsi" w:cstheme="minorHAnsi"/>
        </w:rPr>
        <w:t xml:space="preserve"> Facilities”).</w:t>
      </w:r>
      <w:r w:rsidR="00E158CD" w:rsidRPr="00FE4FBD">
        <w:rPr>
          <w:rFonts w:asciiTheme="minorHAnsi" w:hAnsiTheme="minorHAnsi" w:cstheme="minorHAnsi"/>
        </w:rPr>
        <w:t xml:space="preserve">  The Viera Facilities are located on approximately 50 acres of property in Melbourne, Florida </w:t>
      </w:r>
      <w:r w:rsidR="00E158CD" w:rsidRPr="00FE4FBD">
        <w:rPr>
          <w:rFonts w:asciiTheme="minorHAnsi" w:eastAsia="Arial" w:hAnsiTheme="minorHAnsi" w:cstheme="minorHAnsi"/>
          <w:szCs w:val="24"/>
        </w:rPr>
        <w:t xml:space="preserve">bordered generally by North Wickham Road to the </w:t>
      </w:r>
      <w:r w:rsidR="00663D59" w:rsidRPr="00FE4FBD">
        <w:rPr>
          <w:rFonts w:asciiTheme="minorHAnsi" w:eastAsia="Arial" w:hAnsiTheme="minorHAnsi" w:cstheme="minorHAnsi"/>
          <w:szCs w:val="24"/>
        </w:rPr>
        <w:t>n</w:t>
      </w:r>
      <w:r w:rsidR="00E158CD" w:rsidRPr="00FE4FBD">
        <w:rPr>
          <w:rFonts w:asciiTheme="minorHAnsi" w:eastAsia="Arial" w:hAnsiTheme="minorHAnsi" w:cstheme="minorHAnsi"/>
          <w:szCs w:val="24"/>
        </w:rPr>
        <w:t xml:space="preserve">orth, Stadium Parkway to the </w:t>
      </w:r>
      <w:r w:rsidR="00663D59" w:rsidRPr="00FE4FBD">
        <w:rPr>
          <w:rFonts w:asciiTheme="minorHAnsi" w:eastAsia="Arial" w:hAnsiTheme="minorHAnsi" w:cstheme="minorHAnsi"/>
          <w:szCs w:val="24"/>
        </w:rPr>
        <w:t>w</w:t>
      </w:r>
      <w:r w:rsidR="00E158CD" w:rsidRPr="00FE4FBD">
        <w:rPr>
          <w:rFonts w:asciiTheme="minorHAnsi" w:eastAsia="Arial" w:hAnsiTheme="minorHAnsi" w:cstheme="minorHAnsi"/>
          <w:szCs w:val="24"/>
        </w:rPr>
        <w:t xml:space="preserve">est, Lake Andrew Drive to the </w:t>
      </w:r>
      <w:r w:rsidR="00663D59" w:rsidRPr="00FE4FBD">
        <w:rPr>
          <w:rFonts w:asciiTheme="minorHAnsi" w:eastAsia="Arial" w:hAnsiTheme="minorHAnsi" w:cstheme="minorHAnsi"/>
          <w:szCs w:val="24"/>
        </w:rPr>
        <w:t>e</w:t>
      </w:r>
      <w:r w:rsidR="00E158CD" w:rsidRPr="00FE4FBD">
        <w:rPr>
          <w:rFonts w:asciiTheme="minorHAnsi" w:eastAsia="Arial" w:hAnsiTheme="minorHAnsi" w:cstheme="minorHAnsi"/>
          <w:szCs w:val="24"/>
        </w:rPr>
        <w:t xml:space="preserve">ast, and </w:t>
      </w:r>
      <w:proofErr w:type="spellStart"/>
      <w:r w:rsidR="00E158CD" w:rsidRPr="00FE4FBD">
        <w:rPr>
          <w:rFonts w:asciiTheme="minorHAnsi" w:eastAsia="Arial" w:hAnsiTheme="minorHAnsi" w:cstheme="minorHAnsi"/>
          <w:szCs w:val="24"/>
        </w:rPr>
        <w:t>Vidina</w:t>
      </w:r>
      <w:proofErr w:type="spellEnd"/>
      <w:r w:rsidR="00E158CD" w:rsidRPr="00FE4FBD">
        <w:rPr>
          <w:rFonts w:asciiTheme="minorHAnsi" w:eastAsia="Arial" w:hAnsiTheme="minorHAnsi" w:cstheme="minorHAnsi"/>
          <w:szCs w:val="24"/>
        </w:rPr>
        <w:t xml:space="preserve"> Drive to the </w:t>
      </w:r>
      <w:r w:rsidR="00663D59" w:rsidRPr="00FE4FBD">
        <w:rPr>
          <w:rFonts w:asciiTheme="minorHAnsi" w:eastAsia="Arial" w:hAnsiTheme="minorHAnsi" w:cstheme="minorHAnsi"/>
          <w:szCs w:val="24"/>
        </w:rPr>
        <w:t>s</w:t>
      </w:r>
      <w:r w:rsidR="00E158CD" w:rsidRPr="00FE4FBD">
        <w:rPr>
          <w:rFonts w:asciiTheme="minorHAnsi" w:eastAsia="Arial" w:hAnsiTheme="minorHAnsi" w:cstheme="minorHAnsi"/>
          <w:szCs w:val="24"/>
        </w:rPr>
        <w:t>outh</w:t>
      </w:r>
      <w:r w:rsidRPr="00FE4FBD">
        <w:rPr>
          <w:rFonts w:asciiTheme="minorHAnsi" w:hAnsiTheme="minorHAnsi" w:cstheme="minorHAnsi"/>
        </w:rPr>
        <w:t xml:space="preserve">  </w:t>
      </w:r>
      <w:r w:rsidR="00AD39D8" w:rsidRPr="00FE4FBD">
        <w:rPr>
          <w:rFonts w:asciiTheme="minorHAnsi" w:hAnsiTheme="minorHAnsi" w:cstheme="minorHAnsi"/>
        </w:rPr>
        <w:t>Viera</w:t>
      </w:r>
      <w:r w:rsidRPr="00FE4FBD">
        <w:rPr>
          <w:rFonts w:asciiTheme="minorHAnsi" w:hAnsiTheme="minorHAnsi" w:cstheme="minorHAnsi"/>
        </w:rPr>
        <w:t xml:space="preserve"> </w:t>
      </w:r>
      <w:r w:rsidR="002D76CB" w:rsidRPr="00FE4FBD">
        <w:rPr>
          <w:rFonts w:asciiTheme="minorHAnsi" w:hAnsiTheme="minorHAnsi" w:cstheme="minorHAnsi"/>
        </w:rPr>
        <w:t xml:space="preserve">is the initial owner and principal user </w:t>
      </w:r>
      <w:r w:rsidRPr="00FE4FBD">
        <w:rPr>
          <w:rFonts w:asciiTheme="minorHAnsi" w:hAnsiTheme="minorHAnsi" w:cstheme="minorHAnsi"/>
        </w:rPr>
        <w:t xml:space="preserve">of the </w:t>
      </w:r>
      <w:r w:rsidR="00AD39D8" w:rsidRPr="00FE4FBD">
        <w:rPr>
          <w:rFonts w:asciiTheme="minorHAnsi" w:hAnsiTheme="minorHAnsi" w:cstheme="minorHAnsi"/>
        </w:rPr>
        <w:t>Viera</w:t>
      </w:r>
      <w:r w:rsidRPr="00FE4FBD">
        <w:rPr>
          <w:rFonts w:asciiTheme="minorHAnsi" w:hAnsiTheme="minorHAnsi" w:cstheme="minorHAnsi"/>
        </w:rPr>
        <w:t xml:space="preserve"> Facilities described in this paragraph and it is expected that not more than $</w:t>
      </w:r>
      <w:r w:rsidR="0050621B" w:rsidRPr="00FE4FBD">
        <w:rPr>
          <w:rFonts w:asciiTheme="minorHAnsi" w:hAnsiTheme="minorHAnsi" w:cstheme="minorHAnsi"/>
        </w:rPr>
        <w:t>21,000,000</w:t>
      </w:r>
      <w:r w:rsidRPr="00FE4FBD">
        <w:rPr>
          <w:rFonts w:asciiTheme="minorHAnsi" w:hAnsiTheme="minorHAnsi" w:cstheme="minorHAnsi"/>
        </w:rPr>
        <w:t xml:space="preserve"> </w:t>
      </w:r>
      <w:r w:rsidR="002D76CB" w:rsidRPr="00FE4FBD">
        <w:rPr>
          <w:rFonts w:asciiTheme="minorHAnsi" w:hAnsiTheme="minorHAnsi" w:cstheme="minorHAnsi"/>
        </w:rPr>
        <w:t>in aggregate principal amount of the Bonds</w:t>
      </w:r>
      <w:r w:rsidRPr="00FE4FBD">
        <w:rPr>
          <w:rFonts w:asciiTheme="minorHAnsi" w:hAnsiTheme="minorHAnsi" w:cstheme="minorHAnsi"/>
        </w:rPr>
        <w:t xml:space="preserve"> will be spent on the portion of the Project allocable to the </w:t>
      </w:r>
      <w:r w:rsidR="00AD39D8" w:rsidRPr="00FE4FBD">
        <w:rPr>
          <w:rFonts w:asciiTheme="minorHAnsi" w:hAnsiTheme="minorHAnsi" w:cstheme="minorHAnsi"/>
        </w:rPr>
        <w:t>Viera</w:t>
      </w:r>
      <w:r w:rsidRPr="00FE4FBD">
        <w:rPr>
          <w:rFonts w:asciiTheme="minorHAnsi" w:hAnsiTheme="minorHAnsi" w:cstheme="minorHAnsi"/>
        </w:rPr>
        <w:t xml:space="preserve"> Facilities.</w:t>
      </w:r>
      <w:r w:rsidR="00396969" w:rsidRPr="00FE4FBD">
        <w:rPr>
          <w:rFonts w:asciiTheme="minorHAnsi" w:hAnsiTheme="minorHAnsi" w:cstheme="minorHAnsi"/>
        </w:rPr>
        <w:t xml:space="preserve">  A portion of the Viera Facilities are </w:t>
      </w:r>
      <w:r w:rsidR="00677D02" w:rsidRPr="00FE4FBD">
        <w:rPr>
          <w:rFonts w:asciiTheme="minorHAnsi" w:hAnsiTheme="minorHAnsi" w:cstheme="minorHAnsi"/>
        </w:rPr>
        <w:t xml:space="preserve">also </w:t>
      </w:r>
      <w:r w:rsidR="00396969" w:rsidRPr="00FE4FBD">
        <w:rPr>
          <w:rFonts w:asciiTheme="minorHAnsi" w:hAnsiTheme="minorHAnsi" w:cstheme="minorHAnsi"/>
        </w:rPr>
        <w:t>being refinanced with the proceeds of the Bonds through the refunding of the Prior Bonds.</w:t>
      </w:r>
    </w:p>
    <w:p w14:paraId="2EBF2704" w14:textId="77777777" w:rsidR="00801C82" w:rsidRPr="00FE4FBD" w:rsidRDefault="008E51D9" w:rsidP="00801C82">
      <w:pPr>
        <w:pStyle w:val="ParaNUMBERED"/>
        <w:rPr>
          <w:rFonts w:asciiTheme="minorHAnsi" w:hAnsiTheme="minorHAnsi" w:cstheme="minorHAnsi"/>
        </w:rPr>
      </w:pPr>
      <w:r w:rsidRPr="00FE4FBD">
        <w:rPr>
          <w:rFonts w:asciiTheme="minorHAnsi" w:hAnsiTheme="minorHAnsi" w:cstheme="minorHAnsi"/>
        </w:rPr>
        <w:lastRenderedPageBreak/>
        <w:tab/>
      </w:r>
      <w:r w:rsidR="008C426C" w:rsidRPr="00FE4FBD">
        <w:rPr>
          <w:rFonts w:asciiTheme="minorHAnsi" w:hAnsiTheme="minorHAnsi" w:cstheme="minorHAnsi"/>
        </w:rPr>
        <w:t>4</w:t>
      </w:r>
      <w:r w:rsidRPr="00FE4FBD">
        <w:rPr>
          <w:rFonts w:asciiTheme="minorHAnsi" w:hAnsiTheme="minorHAnsi" w:cstheme="minorHAnsi"/>
        </w:rPr>
        <w:t>.</w:t>
      </w:r>
      <w:r w:rsidRPr="00FE4FBD">
        <w:rPr>
          <w:rFonts w:asciiTheme="minorHAnsi" w:hAnsiTheme="minorHAnsi" w:cstheme="minorHAnsi"/>
        </w:rPr>
        <w:tab/>
      </w:r>
      <w:r w:rsidR="00AD39D8" w:rsidRPr="00FE4FBD">
        <w:rPr>
          <w:rFonts w:asciiTheme="minorHAnsi" w:hAnsiTheme="minorHAnsi" w:cstheme="minorHAnsi"/>
        </w:rPr>
        <w:t>Cape Canaveral replacement</w:t>
      </w:r>
      <w:r w:rsidR="00D854A8" w:rsidRPr="00FE4FBD">
        <w:rPr>
          <w:rFonts w:asciiTheme="minorHAnsi" w:hAnsiTheme="minorHAnsi" w:cstheme="minorHAnsi"/>
        </w:rPr>
        <w:t xml:space="preserve"> Hospital</w:t>
      </w:r>
      <w:r w:rsidR="00663D59" w:rsidRPr="00FE4FBD">
        <w:rPr>
          <w:rFonts w:asciiTheme="minorHAnsi" w:hAnsiTheme="minorHAnsi" w:cstheme="minorHAnsi"/>
        </w:rPr>
        <w:t xml:space="preserve"> Campus</w:t>
      </w:r>
      <w:r w:rsidRPr="00FE4FBD">
        <w:rPr>
          <w:rFonts w:asciiTheme="minorHAnsi" w:hAnsiTheme="minorHAnsi" w:cstheme="minorHAnsi"/>
        </w:rPr>
        <w:t xml:space="preserve">, a </w:t>
      </w:r>
      <w:r w:rsidR="00AD39D8" w:rsidRPr="00FE4FBD">
        <w:rPr>
          <w:rFonts w:asciiTheme="minorHAnsi" w:hAnsiTheme="minorHAnsi" w:cstheme="minorHAnsi"/>
        </w:rPr>
        <w:t xml:space="preserve">proposed </w:t>
      </w:r>
      <w:r w:rsidR="00922ED1" w:rsidRPr="00FE4FBD">
        <w:rPr>
          <w:rFonts w:asciiTheme="minorHAnsi" w:hAnsiTheme="minorHAnsi" w:cstheme="minorHAnsi"/>
        </w:rPr>
        <w:t>120</w:t>
      </w:r>
      <w:r w:rsidR="00C92A53" w:rsidRPr="00FE4FBD">
        <w:rPr>
          <w:rFonts w:asciiTheme="minorHAnsi" w:hAnsiTheme="minorHAnsi" w:cstheme="minorHAnsi"/>
        </w:rPr>
        <w:t xml:space="preserve">-bed acute care hospital </w:t>
      </w:r>
      <w:r w:rsidR="00E158CD" w:rsidRPr="00FE4FBD">
        <w:rPr>
          <w:rFonts w:asciiTheme="minorHAnsi" w:hAnsiTheme="minorHAnsi" w:cstheme="minorHAnsi"/>
        </w:rPr>
        <w:t>and the related land, parking garages, office buildings, wellness centers, hospice facilities, medical education facilities, clinics, warehouses and other buildings</w:t>
      </w:r>
      <w:r w:rsidR="00D6481F" w:rsidRPr="00FE4FBD">
        <w:rPr>
          <w:rFonts w:asciiTheme="minorHAnsi" w:hAnsiTheme="minorHAnsi" w:cstheme="minorHAnsi"/>
        </w:rPr>
        <w:t xml:space="preserve"> </w:t>
      </w:r>
      <w:r w:rsidR="00AD39D8" w:rsidRPr="00FE4FBD">
        <w:rPr>
          <w:rFonts w:asciiTheme="minorHAnsi" w:hAnsiTheme="minorHAnsi" w:cstheme="minorHAnsi"/>
        </w:rPr>
        <w:t>to be</w:t>
      </w:r>
      <w:r w:rsidR="00A55B5E" w:rsidRPr="00FE4FBD">
        <w:rPr>
          <w:rFonts w:asciiTheme="minorHAnsi" w:hAnsiTheme="minorHAnsi" w:cstheme="minorHAnsi"/>
        </w:rPr>
        <w:t xml:space="preserve"> </w:t>
      </w:r>
      <w:r w:rsidRPr="00FE4FBD">
        <w:rPr>
          <w:rFonts w:asciiTheme="minorHAnsi" w:hAnsiTheme="minorHAnsi" w:cstheme="minorHAnsi"/>
        </w:rPr>
        <w:t xml:space="preserve">located </w:t>
      </w:r>
      <w:r w:rsidR="00E158CD" w:rsidRPr="00FE4FBD">
        <w:rPr>
          <w:rFonts w:asciiTheme="minorHAnsi" w:hAnsiTheme="minorHAnsi" w:cstheme="minorHAnsi"/>
        </w:rPr>
        <w:t>on approximately 15 acres</w:t>
      </w:r>
      <w:r w:rsidR="00B93971" w:rsidRPr="00FE4FBD">
        <w:rPr>
          <w:rFonts w:asciiTheme="minorHAnsi" w:hAnsiTheme="minorHAnsi" w:cstheme="minorHAnsi"/>
          <w:b/>
          <w:bCs/>
        </w:rPr>
        <w:t xml:space="preserve"> </w:t>
      </w:r>
      <w:r w:rsidR="00B93971" w:rsidRPr="00FE4FBD">
        <w:rPr>
          <w:rFonts w:asciiTheme="minorHAnsi" w:hAnsiTheme="minorHAnsi" w:cstheme="minorHAnsi"/>
        </w:rPr>
        <w:t>of land in</w:t>
      </w:r>
      <w:r w:rsidR="00B93971" w:rsidRPr="00FE4FBD">
        <w:rPr>
          <w:rFonts w:asciiTheme="minorHAnsi" w:hAnsiTheme="minorHAnsi" w:cstheme="minorHAnsi"/>
          <w:b/>
          <w:bCs/>
        </w:rPr>
        <w:t xml:space="preserve"> </w:t>
      </w:r>
      <w:r w:rsidR="00922ED1" w:rsidRPr="00FE4FBD">
        <w:rPr>
          <w:rFonts w:asciiTheme="minorHAnsi" w:hAnsiTheme="minorHAnsi" w:cstheme="minorHAnsi"/>
        </w:rPr>
        <w:t>Merritt Island</w:t>
      </w:r>
      <w:r w:rsidR="00762C2C" w:rsidRPr="00FE4FBD">
        <w:rPr>
          <w:rFonts w:asciiTheme="minorHAnsi" w:hAnsiTheme="minorHAnsi" w:cstheme="minorHAnsi"/>
        </w:rPr>
        <w:t>, Florida</w:t>
      </w:r>
      <w:r w:rsidR="00B93971" w:rsidRPr="00FE4FBD">
        <w:rPr>
          <w:rFonts w:asciiTheme="minorHAnsi" w:hAnsiTheme="minorHAnsi" w:cstheme="minorHAnsi"/>
        </w:rPr>
        <w:t xml:space="preserve"> </w:t>
      </w:r>
      <w:r w:rsidR="00663D59" w:rsidRPr="00FE4FBD">
        <w:rPr>
          <w:rFonts w:asciiTheme="minorHAnsi" w:hAnsiTheme="minorHAnsi" w:cstheme="minorHAnsi"/>
        </w:rPr>
        <w:t xml:space="preserve">and </w:t>
      </w:r>
      <w:r w:rsidR="00B93971" w:rsidRPr="00FE4FBD">
        <w:rPr>
          <w:rFonts w:asciiTheme="minorHAnsi" w:eastAsia="Arial" w:hAnsiTheme="minorHAnsi" w:cstheme="minorHAnsi"/>
          <w:szCs w:val="24"/>
        </w:rPr>
        <w:t xml:space="preserve">bordered generally by Borman Drive on the </w:t>
      </w:r>
      <w:r w:rsidR="00663D59" w:rsidRPr="00FE4FBD">
        <w:rPr>
          <w:rFonts w:asciiTheme="minorHAnsi" w:eastAsia="Arial" w:hAnsiTheme="minorHAnsi" w:cstheme="minorHAnsi"/>
          <w:szCs w:val="24"/>
        </w:rPr>
        <w:t>e</w:t>
      </w:r>
      <w:r w:rsidR="00B93971" w:rsidRPr="00FE4FBD">
        <w:rPr>
          <w:rFonts w:asciiTheme="minorHAnsi" w:eastAsia="Arial" w:hAnsiTheme="minorHAnsi" w:cstheme="minorHAnsi"/>
          <w:szCs w:val="24"/>
        </w:rPr>
        <w:t xml:space="preserve">ast, State Road 520 on </w:t>
      </w:r>
      <w:r w:rsidR="00663D59" w:rsidRPr="00FE4FBD">
        <w:rPr>
          <w:rFonts w:asciiTheme="minorHAnsi" w:eastAsia="Arial" w:hAnsiTheme="minorHAnsi" w:cstheme="minorHAnsi"/>
          <w:szCs w:val="24"/>
        </w:rPr>
        <w:t>s</w:t>
      </w:r>
      <w:r w:rsidR="00B93971" w:rsidRPr="00FE4FBD">
        <w:rPr>
          <w:rFonts w:asciiTheme="minorHAnsi" w:eastAsia="Arial" w:hAnsiTheme="minorHAnsi" w:cstheme="minorHAnsi"/>
          <w:szCs w:val="24"/>
        </w:rPr>
        <w:t xml:space="preserve">outh, East Merritt Avenue in the </w:t>
      </w:r>
      <w:r w:rsidR="00663D59" w:rsidRPr="00FE4FBD">
        <w:rPr>
          <w:rFonts w:asciiTheme="minorHAnsi" w:eastAsia="Arial" w:hAnsiTheme="minorHAnsi" w:cstheme="minorHAnsi"/>
          <w:szCs w:val="24"/>
        </w:rPr>
        <w:t>n</w:t>
      </w:r>
      <w:r w:rsidR="00B93971" w:rsidRPr="00FE4FBD">
        <w:rPr>
          <w:rFonts w:asciiTheme="minorHAnsi" w:eastAsia="Arial" w:hAnsiTheme="minorHAnsi" w:cstheme="minorHAnsi"/>
          <w:szCs w:val="24"/>
        </w:rPr>
        <w:t>orth and by commercial property on the west</w:t>
      </w:r>
      <w:r w:rsidR="00762C2C" w:rsidRPr="00FE4FBD">
        <w:rPr>
          <w:rFonts w:asciiTheme="minorHAnsi" w:hAnsiTheme="minorHAnsi" w:cstheme="minorHAnsi"/>
        </w:rPr>
        <w:t xml:space="preserve"> </w:t>
      </w:r>
      <w:r w:rsidR="00AD39D8" w:rsidRPr="00FE4FBD">
        <w:rPr>
          <w:rFonts w:asciiTheme="minorHAnsi" w:hAnsiTheme="minorHAnsi" w:cstheme="minorHAnsi"/>
        </w:rPr>
        <w:t xml:space="preserve">(the “New CCH Facilities”).  CCH will be </w:t>
      </w:r>
      <w:r w:rsidR="00922ED1" w:rsidRPr="00FE4FBD">
        <w:rPr>
          <w:rFonts w:asciiTheme="minorHAnsi" w:hAnsiTheme="minorHAnsi" w:cstheme="minorHAnsi"/>
        </w:rPr>
        <w:t xml:space="preserve">the </w:t>
      </w:r>
      <w:r w:rsidR="00AD39D8" w:rsidRPr="00FE4FBD">
        <w:rPr>
          <w:rFonts w:asciiTheme="minorHAnsi" w:hAnsiTheme="minorHAnsi" w:cstheme="minorHAnsi"/>
        </w:rPr>
        <w:t xml:space="preserve">initial owner and </w:t>
      </w:r>
      <w:r w:rsidR="002D76CB" w:rsidRPr="00FE4FBD">
        <w:rPr>
          <w:rFonts w:asciiTheme="minorHAnsi" w:hAnsiTheme="minorHAnsi" w:cstheme="minorHAnsi"/>
        </w:rPr>
        <w:t>principal user</w:t>
      </w:r>
      <w:r w:rsidR="00AD39D8" w:rsidRPr="00FE4FBD">
        <w:rPr>
          <w:rFonts w:asciiTheme="minorHAnsi" w:hAnsiTheme="minorHAnsi" w:cstheme="minorHAnsi"/>
        </w:rPr>
        <w:t xml:space="preserve"> of the New CCH Facilities described in this paragraph and it is expected that not more than $</w:t>
      </w:r>
      <w:r w:rsidR="0050621B" w:rsidRPr="00FE4FBD">
        <w:rPr>
          <w:rFonts w:asciiTheme="minorHAnsi" w:hAnsiTheme="minorHAnsi" w:cstheme="minorHAnsi"/>
        </w:rPr>
        <w:t>516,000,000</w:t>
      </w:r>
      <w:r w:rsidR="00AD39D8" w:rsidRPr="00FE4FBD">
        <w:rPr>
          <w:rFonts w:asciiTheme="minorHAnsi" w:hAnsiTheme="minorHAnsi" w:cstheme="minorHAnsi"/>
        </w:rPr>
        <w:t xml:space="preserve"> </w:t>
      </w:r>
      <w:r w:rsidR="002D76CB" w:rsidRPr="00FE4FBD">
        <w:rPr>
          <w:rFonts w:asciiTheme="minorHAnsi" w:hAnsiTheme="minorHAnsi" w:cstheme="minorHAnsi"/>
        </w:rPr>
        <w:t xml:space="preserve">in aggregate principal amount of the Bonds </w:t>
      </w:r>
      <w:r w:rsidR="00AD39D8" w:rsidRPr="00FE4FBD">
        <w:rPr>
          <w:rFonts w:asciiTheme="minorHAnsi" w:hAnsiTheme="minorHAnsi" w:cstheme="minorHAnsi"/>
        </w:rPr>
        <w:t xml:space="preserve">will be spent on the portion of the Project allocable to the New CCH Facilities.  The New CCH Facilities will be a replacement for the existing Cape Canaveral Hospital, which is a </w:t>
      </w:r>
      <w:r w:rsidR="00762C2C" w:rsidRPr="00FE4FBD">
        <w:rPr>
          <w:rFonts w:asciiTheme="minorHAnsi" w:hAnsiTheme="minorHAnsi" w:cstheme="minorHAnsi"/>
        </w:rPr>
        <w:t>150-bed acute care hospital and related facilities currently located at 701 W. Cocoa Beach Causeway, Cocoa Beach, Florid</w:t>
      </w:r>
      <w:r w:rsidR="00396969" w:rsidRPr="00FE4FBD">
        <w:rPr>
          <w:rFonts w:asciiTheme="minorHAnsi" w:hAnsiTheme="minorHAnsi" w:cstheme="minorHAnsi"/>
        </w:rPr>
        <w:t>a (the “Existing CCH Facilities”).  A portion of the Existing CCH Facilities are being refinanced with the proceeds of the Bonds through the refunding of the Prior Bonds.</w:t>
      </w:r>
    </w:p>
    <w:p w14:paraId="76488ABC" w14:textId="77777777" w:rsidR="00455F93" w:rsidRPr="00FE4FBD" w:rsidRDefault="00B20177" w:rsidP="00801C82">
      <w:pPr>
        <w:pStyle w:val="ParaNUMBERED"/>
        <w:rPr>
          <w:rFonts w:asciiTheme="minorHAnsi" w:hAnsiTheme="minorHAnsi" w:cstheme="minorHAnsi"/>
          <w:b/>
          <w:bCs/>
        </w:rPr>
      </w:pPr>
      <w:r w:rsidRPr="00FE4FBD">
        <w:rPr>
          <w:rFonts w:asciiTheme="minorHAnsi" w:hAnsiTheme="minorHAnsi" w:cstheme="minorHAnsi"/>
          <w:b/>
          <w:bCs/>
        </w:rPr>
        <w:tab/>
      </w:r>
      <w:r w:rsidR="008C426C" w:rsidRPr="00FE4FBD">
        <w:rPr>
          <w:rFonts w:asciiTheme="minorHAnsi" w:hAnsiTheme="minorHAnsi" w:cstheme="minorHAnsi"/>
        </w:rPr>
        <w:t>5</w:t>
      </w:r>
      <w:r w:rsidRPr="00FE4FBD">
        <w:rPr>
          <w:rFonts w:asciiTheme="minorHAnsi" w:hAnsiTheme="minorHAnsi" w:cstheme="minorHAnsi"/>
        </w:rPr>
        <w:t>.</w:t>
      </w:r>
      <w:r w:rsidRPr="00FE4FBD">
        <w:rPr>
          <w:rFonts w:asciiTheme="minorHAnsi" w:hAnsiTheme="minorHAnsi" w:cstheme="minorHAnsi"/>
        </w:rPr>
        <w:tab/>
        <w:t xml:space="preserve">Health First corporate offices </w:t>
      </w:r>
      <w:r w:rsidR="0050621B" w:rsidRPr="00FE4FBD">
        <w:rPr>
          <w:rFonts w:asciiTheme="minorHAnsi" w:hAnsiTheme="minorHAnsi" w:cstheme="minorHAnsi"/>
        </w:rPr>
        <w:t>consist of office buildings</w:t>
      </w:r>
      <w:r w:rsidRPr="00FE4FBD">
        <w:rPr>
          <w:rFonts w:asciiTheme="minorHAnsi" w:hAnsiTheme="minorHAnsi" w:cstheme="minorHAnsi"/>
        </w:rPr>
        <w:t xml:space="preserve"> located at 6450 U.S. Highway 1, Rockledge, Florida</w:t>
      </w:r>
      <w:r w:rsidR="0050621B" w:rsidRPr="00FE4FBD">
        <w:rPr>
          <w:rFonts w:asciiTheme="minorHAnsi" w:hAnsiTheme="minorHAnsi" w:cstheme="minorHAnsi"/>
        </w:rPr>
        <w:t xml:space="preserve"> and </w:t>
      </w:r>
      <w:r w:rsidR="0050621B" w:rsidRPr="00FE4FBD">
        <w:rPr>
          <w:rFonts w:asciiTheme="minorHAnsi" w:eastAsia="Arial" w:hAnsiTheme="minorHAnsi" w:cstheme="minorHAnsi"/>
          <w:szCs w:val="24"/>
        </w:rPr>
        <w:t>3300 S. Fiske Blvd., Rockledge FL</w:t>
      </w:r>
      <w:r w:rsidRPr="00FE4FBD">
        <w:rPr>
          <w:rFonts w:asciiTheme="minorHAnsi" w:hAnsiTheme="minorHAnsi" w:cstheme="minorHAnsi"/>
        </w:rPr>
        <w:t xml:space="preserve"> (the “Health First Facilities”).  Health First is the initial owner and </w:t>
      </w:r>
      <w:r w:rsidR="002D76CB" w:rsidRPr="00FE4FBD">
        <w:rPr>
          <w:rFonts w:asciiTheme="minorHAnsi" w:hAnsiTheme="minorHAnsi" w:cstheme="minorHAnsi"/>
        </w:rPr>
        <w:t>principal user</w:t>
      </w:r>
      <w:r w:rsidRPr="00FE4FBD">
        <w:rPr>
          <w:rFonts w:asciiTheme="minorHAnsi" w:hAnsiTheme="minorHAnsi" w:cstheme="minorHAnsi"/>
        </w:rPr>
        <w:t xml:space="preserve"> of the Health First Facilities described in this paragraph and it is expected that not more than $</w:t>
      </w:r>
      <w:r w:rsidR="0050621B" w:rsidRPr="00FE4FBD">
        <w:rPr>
          <w:rFonts w:asciiTheme="minorHAnsi" w:hAnsiTheme="minorHAnsi" w:cstheme="minorHAnsi"/>
        </w:rPr>
        <w:t>63,000,000</w:t>
      </w:r>
      <w:r w:rsidRPr="00FE4FBD">
        <w:rPr>
          <w:rFonts w:asciiTheme="minorHAnsi" w:hAnsiTheme="minorHAnsi" w:cstheme="minorHAnsi"/>
        </w:rPr>
        <w:t xml:space="preserve"> </w:t>
      </w:r>
      <w:r w:rsidR="002D76CB" w:rsidRPr="00FE4FBD">
        <w:rPr>
          <w:rFonts w:asciiTheme="minorHAnsi" w:hAnsiTheme="minorHAnsi" w:cstheme="minorHAnsi"/>
        </w:rPr>
        <w:t>in aggregate principal amount of the Bonds</w:t>
      </w:r>
      <w:r w:rsidRPr="00FE4FBD">
        <w:rPr>
          <w:rFonts w:asciiTheme="minorHAnsi" w:hAnsiTheme="minorHAnsi" w:cstheme="minorHAnsi"/>
        </w:rPr>
        <w:t xml:space="preserve"> will be spent on the portion of the Project allocable to the Health First Facilities.  A portion of the Health First Facilities are </w:t>
      </w:r>
      <w:r w:rsidR="00677D02" w:rsidRPr="00FE4FBD">
        <w:rPr>
          <w:rFonts w:asciiTheme="minorHAnsi" w:hAnsiTheme="minorHAnsi" w:cstheme="minorHAnsi"/>
        </w:rPr>
        <w:t xml:space="preserve">also </w:t>
      </w:r>
      <w:r w:rsidRPr="00FE4FBD">
        <w:rPr>
          <w:rFonts w:asciiTheme="minorHAnsi" w:hAnsiTheme="minorHAnsi" w:cstheme="minorHAnsi"/>
        </w:rPr>
        <w:t>being refinanced with the proceeds of the Bonds through the refunding of the Prior Bonds.</w:t>
      </w:r>
    </w:p>
    <w:p w14:paraId="57FF36AC" w14:textId="77777777" w:rsidR="008E51D9" w:rsidRPr="00FE4FBD" w:rsidRDefault="00B20177" w:rsidP="008E51D9">
      <w:pPr>
        <w:pStyle w:val="ParaNORMAL"/>
        <w:widowControl w:val="0"/>
        <w:rPr>
          <w:rFonts w:asciiTheme="minorHAnsi" w:hAnsiTheme="minorHAnsi" w:cstheme="minorHAnsi"/>
        </w:rPr>
      </w:pPr>
      <w:r w:rsidRPr="00FE4FBD">
        <w:rPr>
          <w:rFonts w:asciiTheme="minorHAnsi" w:hAnsiTheme="minorHAnsi" w:cstheme="minorHAnsi"/>
        </w:rPr>
        <w:t xml:space="preserve">The public hearing is required by Section 147(f) of the Internal Revenue Code of 1986, as amended.  Interested individuals are invited to express their views, both orally and in writing, on the proposed issuance of the Bonds.  Comments at the public hearing are invited.  Written comments may be submitted to the Authority in care of its counsel, </w:t>
      </w:r>
      <w:r w:rsidR="00762C2C" w:rsidRPr="00FE4FBD">
        <w:rPr>
          <w:rFonts w:asciiTheme="minorHAnsi" w:hAnsiTheme="minorHAnsi" w:cstheme="minorHAnsi"/>
        </w:rPr>
        <w:t>Angela A. Abbott, P.A.</w:t>
      </w:r>
      <w:r w:rsidRPr="00FE4FBD">
        <w:rPr>
          <w:rFonts w:asciiTheme="minorHAnsi" w:hAnsiTheme="minorHAnsi" w:cstheme="minorHAnsi"/>
        </w:rPr>
        <w:t xml:space="preserve">, </w:t>
      </w:r>
      <w:r w:rsidR="00762C2C" w:rsidRPr="00FE4FBD">
        <w:rPr>
          <w:rFonts w:asciiTheme="minorHAnsi" w:hAnsiTheme="minorHAnsi" w:cstheme="minorHAnsi"/>
        </w:rPr>
        <w:t>4420 South Washington Avenue</w:t>
      </w:r>
      <w:r w:rsidRPr="00FE4FBD">
        <w:rPr>
          <w:rFonts w:asciiTheme="minorHAnsi" w:hAnsiTheme="minorHAnsi" w:cstheme="minorHAnsi"/>
        </w:rPr>
        <w:t xml:space="preserve">, </w:t>
      </w:r>
      <w:r w:rsidR="00762C2C" w:rsidRPr="00FE4FBD">
        <w:rPr>
          <w:rFonts w:asciiTheme="minorHAnsi" w:hAnsiTheme="minorHAnsi" w:cstheme="minorHAnsi"/>
        </w:rPr>
        <w:t>Titusville</w:t>
      </w:r>
      <w:r w:rsidRPr="00FE4FBD">
        <w:rPr>
          <w:rFonts w:asciiTheme="minorHAnsi" w:hAnsiTheme="minorHAnsi" w:cstheme="minorHAnsi"/>
        </w:rPr>
        <w:t>, Florida 32</w:t>
      </w:r>
      <w:r w:rsidR="00762C2C" w:rsidRPr="00FE4FBD">
        <w:rPr>
          <w:rFonts w:asciiTheme="minorHAnsi" w:hAnsiTheme="minorHAnsi" w:cstheme="minorHAnsi"/>
        </w:rPr>
        <w:t>780</w:t>
      </w:r>
      <w:r w:rsidRPr="00FE4FBD">
        <w:rPr>
          <w:rFonts w:asciiTheme="minorHAnsi" w:hAnsiTheme="minorHAnsi" w:cstheme="minorHAnsi"/>
        </w:rPr>
        <w:t>, until the conclusion of the public hearing.  Additional information can be obtained from the Authority at the address listed immediately above.</w:t>
      </w:r>
    </w:p>
    <w:p w14:paraId="74E13F5F" w14:textId="77777777" w:rsidR="00557930" w:rsidRPr="00FE4FBD" w:rsidRDefault="00382B62" w:rsidP="008E51D9">
      <w:pPr>
        <w:pStyle w:val="ParaNORMAL"/>
        <w:rPr>
          <w:rFonts w:asciiTheme="minorHAnsi" w:hAnsiTheme="minorHAnsi" w:cstheme="minorHAnsi"/>
        </w:rPr>
      </w:pPr>
      <w:r w:rsidRPr="00FE4FBD">
        <w:rPr>
          <w:rFonts w:asciiTheme="minorHAnsi" w:hAnsiTheme="minorHAnsi" w:cstheme="minorHAnsi"/>
          <w:b/>
          <w:smallCaps/>
        </w:rPr>
        <w:t xml:space="preserve">The Bonds </w:t>
      </w:r>
      <w:r w:rsidR="00F31828" w:rsidRPr="00FE4FBD">
        <w:rPr>
          <w:rFonts w:asciiTheme="minorHAnsi" w:hAnsiTheme="minorHAnsi" w:cstheme="minorHAnsi"/>
          <w:b/>
          <w:smallCaps/>
        </w:rPr>
        <w:t>will</w:t>
      </w:r>
      <w:r w:rsidRPr="00FE4FBD">
        <w:rPr>
          <w:rFonts w:asciiTheme="minorHAnsi" w:hAnsiTheme="minorHAnsi" w:cstheme="minorHAnsi"/>
          <w:b/>
          <w:smallCaps/>
        </w:rPr>
        <w:t xml:space="preserve"> not constitute a debt, liability or obligation of Brevard County, Florida, the State of Florida or any political subdivision thereof, and neither Brevard County, Florida, the State of Florida nor any political subdivision thereof shall be liable thereon nor in any event shall the Bonds and the interest thereon be payable out of any funds or property other than those of the Authority assigned under the related Bond Trust Indenture as security therefor.  The Bonds shall not constitute an indebtedness within the meaning of any constitutional or statutory debt limitation of the laws of the State of Florida.  The Bonds do not, directl</w:t>
      </w:r>
      <w:r w:rsidR="009F592A" w:rsidRPr="00FE4FBD">
        <w:rPr>
          <w:rFonts w:asciiTheme="minorHAnsi" w:hAnsiTheme="minorHAnsi" w:cstheme="minorHAnsi"/>
          <w:b/>
          <w:smallCaps/>
        </w:rPr>
        <w:t>y,</w:t>
      </w:r>
      <w:r w:rsidRPr="00FE4FBD">
        <w:rPr>
          <w:rFonts w:asciiTheme="minorHAnsi" w:hAnsiTheme="minorHAnsi" w:cstheme="minorHAnsi"/>
          <w:b/>
          <w:smallCaps/>
        </w:rPr>
        <w:t xml:space="preserve"> indirectly</w:t>
      </w:r>
      <w:r w:rsidR="009F592A" w:rsidRPr="00FE4FBD">
        <w:rPr>
          <w:rFonts w:asciiTheme="minorHAnsi" w:hAnsiTheme="minorHAnsi" w:cstheme="minorHAnsi"/>
          <w:b/>
          <w:smallCaps/>
        </w:rPr>
        <w:t xml:space="preserve"> or contingently</w:t>
      </w:r>
      <w:r w:rsidRPr="00FE4FBD">
        <w:rPr>
          <w:rFonts w:asciiTheme="minorHAnsi" w:hAnsiTheme="minorHAnsi" w:cstheme="minorHAnsi"/>
          <w:b/>
          <w:smallCaps/>
        </w:rPr>
        <w:t>, obligate the Authority, Brevard County, Florida, the State of Florida or any political subdivision thereof to levy any form of taxation therefor or to make any appropriations for their payment; and the Bonds do not and shall never constitute a charge against the general credit or taxing powers of the Authority, Brevard County, Florida, the State of Florida or any political subdivision thereof.  The Authority has no taxing power.</w:t>
      </w:r>
    </w:p>
    <w:p w14:paraId="00490605" w14:textId="77777777" w:rsidR="008E51D9" w:rsidRPr="00FE4FBD" w:rsidRDefault="00B20177" w:rsidP="008E51D9">
      <w:pPr>
        <w:pStyle w:val="ParaNORMAL"/>
        <w:rPr>
          <w:rFonts w:asciiTheme="minorHAnsi" w:hAnsiTheme="minorHAnsi" w:cstheme="minorHAnsi"/>
        </w:rPr>
      </w:pPr>
      <w:r w:rsidRPr="00FE4FBD">
        <w:rPr>
          <w:rFonts w:asciiTheme="minorHAnsi" w:hAnsiTheme="minorHAnsi" w:cstheme="minorHAnsi"/>
        </w:rPr>
        <w:t xml:space="preserve">Pursuant to Section 286.0105 of the Florida Statutes, as amended, the Authority hereby advises that if any person decides to appeal any decision made by the Authority with respect to any matter considered at such public hearing, such person will need a record of the proceedings </w:t>
      </w:r>
      <w:r w:rsidRPr="00FE4FBD">
        <w:rPr>
          <w:rFonts w:asciiTheme="minorHAnsi" w:hAnsiTheme="minorHAnsi" w:cstheme="minorHAnsi"/>
        </w:rPr>
        <w:lastRenderedPageBreak/>
        <w:t>and, for such purpose, may need to ensure that a verbatim record of the proceedings is made, which record includes the testimony and the evidence upon which the appeal is to be based.</w:t>
      </w:r>
    </w:p>
    <w:p w14:paraId="0C788D84" w14:textId="77777777" w:rsidR="008E51D9" w:rsidRPr="00FE4FBD" w:rsidRDefault="00B20177">
      <w:pPr>
        <w:pStyle w:val="ParaNORMAL"/>
        <w:rPr>
          <w:rFonts w:asciiTheme="minorHAnsi" w:hAnsiTheme="minorHAnsi" w:cstheme="minorHAnsi"/>
          <w:b/>
          <w:bCs/>
        </w:rPr>
      </w:pPr>
      <w:r w:rsidRPr="00FE4FBD">
        <w:rPr>
          <w:rFonts w:asciiTheme="minorHAnsi" w:hAnsiTheme="minorHAnsi" w:cstheme="minorHAnsi"/>
        </w:rPr>
        <w:t>In accordance with the Americans with Disabilities Act (“ADA”), if any person with a disability as defined by the ADA needs special accommodations to participate in the public hearing, then not later than two (2) business days prior to the public hearing</w:t>
      </w:r>
      <w:r w:rsidR="00386538" w:rsidRPr="00FE4FBD">
        <w:rPr>
          <w:rFonts w:asciiTheme="minorHAnsi" w:hAnsiTheme="minorHAnsi" w:cstheme="minorHAnsi"/>
        </w:rPr>
        <w:t xml:space="preserve"> </w:t>
      </w:r>
      <w:r w:rsidRPr="00FE4FBD">
        <w:rPr>
          <w:rFonts w:asciiTheme="minorHAnsi" w:hAnsiTheme="minorHAnsi" w:cstheme="minorHAnsi"/>
        </w:rPr>
        <w:t xml:space="preserve">he or she should contact </w:t>
      </w:r>
      <w:r w:rsidR="008E2319" w:rsidRPr="00FE4FBD">
        <w:rPr>
          <w:rFonts w:asciiTheme="minorHAnsi" w:hAnsiTheme="minorHAnsi" w:cstheme="minorHAnsi"/>
        </w:rPr>
        <w:t xml:space="preserve">Angela A. Abbott, P.A., the Authority’s counsel </w:t>
      </w:r>
      <w:r w:rsidRPr="00FE4FBD">
        <w:rPr>
          <w:rFonts w:asciiTheme="minorHAnsi" w:hAnsiTheme="minorHAnsi" w:cstheme="minorHAnsi"/>
        </w:rPr>
        <w:t xml:space="preserve">at </w:t>
      </w:r>
      <w:r w:rsidR="00693ADB" w:rsidRPr="00FE4FBD">
        <w:rPr>
          <w:rFonts w:asciiTheme="minorHAnsi" w:hAnsiTheme="minorHAnsi" w:cstheme="minorHAnsi"/>
        </w:rPr>
        <w:t xml:space="preserve">(321) </w:t>
      </w:r>
      <w:r w:rsidR="008E2319" w:rsidRPr="00FE4FBD">
        <w:rPr>
          <w:rFonts w:asciiTheme="minorHAnsi" w:hAnsiTheme="minorHAnsi" w:cstheme="minorHAnsi"/>
        </w:rPr>
        <w:t>264-0334.</w:t>
      </w:r>
    </w:p>
    <w:p w14:paraId="07D9AE11" w14:textId="40206D05" w:rsidR="008E51D9" w:rsidRPr="00FE4FBD" w:rsidRDefault="00B20177">
      <w:pPr>
        <w:pStyle w:val="ParaNORMAL"/>
        <w:widowControl w:val="0"/>
        <w:rPr>
          <w:rFonts w:asciiTheme="minorHAnsi" w:hAnsiTheme="minorHAnsi" w:cstheme="minorHAnsi"/>
        </w:rPr>
      </w:pPr>
      <w:r w:rsidRPr="00FE4FBD">
        <w:rPr>
          <w:rFonts w:asciiTheme="minorHAnsi" w:hAnsiTheme="minorHAnsi" w:cstheme="minorHAnsi"/>
          <w:smallCaps/>
        </w:rPr>
        <w:t>Dated</w:t>
      </w:r>
      <w:r w:rsidRPr="00FE4FBD">
        <w:rPr>
          <w:rFonts w:asciiTheme="minorHAnsi" w:hAnsiTheme="minorHAnsi" w:cstheme="minorHAnsi"/>
        </w:rPr>
        <w:t xml:space="preserve">:  </w:t>
      </w:r>
      <w:r w:rsidR="00693ADB" w:rsidRPr="00FE4FBD">
        <w:rPr>
          <w:rFonts w:asciiTheme="minorHAnsi" w:hAnsiTheme="minorHAnsi" w:cstheme="minorHAnsi"/>
        </w:rPr>
        <w:t>February</w:t>
      </w:r>
      <w:r w:rsidR="00C92A53" w:rsidRPr="00FE4FBD">
        <w:rPr>
          <w:rFonts w:asciiTheme="minorHAnsi" w:hAnsiTheme="minorHAnsi" w:cstheme="minorHAnsi"/>
        </w:rPr>
        <w:t xml:space="preserve"> </w:t>
      </w:r>
      <w:r w:rsidR="00B82885" w:rsidRPr="00FE4FBD">
        <w:rPr>
          <w:rFonts w:asciiTheme="minorHAnsi" w:hAnsiTheme="minorHAnsi" w:cstheme="minorHAnsi"/>
        </w:rPr>
        <w:t>10</w:t>
      </w:r>
      <w:r w:rsidRPr="00FE4FBD">
        <w:rPr>
          <w:rFonts w:asciiTheme="minorHAnsi" w:hAnsiTheme="minorHAnsi" w:cstheme="minorHAnsi"/>
        </w:rPr>
        <w:t>, 20</w:t>
      </w:r>
      <w:r w:rsidR="00C92A53" w:rsidRPr="00FE4FBD">
        <w:rPr>
          <w:rFonts w:asciiTheme="minorHAnsi" w:hAnsiTheme="minorHAnsi" w:cstheme="minorHAnsi"/>
        </w:rPr>
        <w:t>2</w:t>
      </w:r>
      <w:r w:rsidR="00693ADB" w:rsidRPr="00FE4FBD">
        <w:rPr>
          <w:rFonts w:asciiTheme="minorHAnsi" w:hAnsiTheme="minorHAnsi" w:cstheme="minorHAnsi"/>
        </w:rPr>
        <w:t>2</w:t>
      </w:r>
      <w:r w:rsidRPr="00FE4FBD">
        <w:rPr>
          <w:rFonts w:asciiTheme="minorHAnsi" w:hAnsiTheme="minorHAnsi" w:cstheme="minorHAnsi"/>
        </w:rPr>
        <w:t>.</w:t>
      </w:r>
    </w:p>
    <w:p w14:paraId="44F76B01" w14:textId="77777777" w:rsidR="008E51D9" w:rsidRPr="00FE4FBD" w:rsidRDefault="008E51D9">
      <w:pPr>
        <w:widowControl w:val="0"/>
        <w:jc w:val="both"/>
        <w:rPr>
          <w:rFonts w:asciiTheme="minorHAnsi" w:hAnsiTheme="minorHAnsi" w:cstheme="minorHAnsi"/>
        </w:rPr>
      </w:pPr>
    </w:p>
    <w:p w14:paraId="62D0CFB8" w14:textId="77777777" w:rsidR="008E51D9" w:rsidRPr="00FE4FBD" w:rsidRDefault="00693ADB">
      <w:pPr>
        <w:pStyle w:val="Signature1"/>
        <w:keepNext w:val="0"/>
        <w:widowControl w:val="0"/>
        <w:rPr>
          <w:rFonts w:asciiTheme="minorHAnsi" w:hAnsiTheme="minorHAnsi" w:cstheme="minorHAnsi"/>
          <w:smallCaps/>
        </w:rPr>
      </w:pPr>
      <w:r w:rsidRPr="00FE4FBD">
        <w:rPr>
          <w:rFonts w:asciiTheme="minorHAnsi" w:hAnsiTheme="minorHAnsi" w:cstheme="minorHAnsi"/>
          <w:smallCaps/>
        </w:rPr>
        <w:t>Brevard</w:t>
      </w:r>
      <w:r w:rsidR="00B20177" w:rsidRPr="00FE4FBD">
        <w:rPr>
          <w:rFonts w:asciiTheme="minorHAnsi" w:hAnsiTheme="minorHAnsi" w:cstheme="minorHAnsi"/>
          <w:smallCaps/>
        </w:rPr>
        <w:t xml:space="preserve"> County Health Facilities Authority</w:t>
      </w:r>
    </w:p>
    <w:p w14:paraId="7FBDAE4A" w14:textId="77777777" w:rsidR="008E51D9" w:rsidRPr="00FE4FBD" w:rsidRDefault="008E51D9">
      <w:pPr>
        <w:pStyle w:val="Signature1"/>
        <w:keepNext w:val="0"/>
        <w:widowControl w:val="0"/>
        <w:rPr>
          <w:rFonts w:asciiTheme="minorHAnsi" w:hAnsiTheme="minorHAnsi" w:cstheme="minorHAnsi"/>
        </w:rPr>
      </w:pPr>
    </w:p>
    <w:p w14:paraId="2AD45507" w14:textId="77777777" w:rsidR="008E51D9" w:rsidRPr="00FE4FBD" w:rsidRDefault="008E51D9">
      <w:pPr>
        <w:rPr>
          <w:rFonts w:asciiTheme="minorHAnsi" w:hAnsiTheme="minorHAnsi" w:cstheme="minorHAnsi"/>
        </w:rPr>
      </w:pPr>
    </w:p>
    <w:sectPr w:rsidR="008E51D9" w:rsidRPr="00FE4FBD">
      <w:footerReference w:type="default" r:id="rId7"/>
      <w:footerReference w:type="first" r:id="rId8"/>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A3A2" w14:textId="77777777" w:rsidR="00E8093C" w:rsidRDefault="00E8093C">
      <w:pPr>
        <w:spacing w:line="240" w:lineRule="auto"/>
      </w:pPr>
      <w:r>
        <w:separator/>
      </w:r>
    </w:p>
  </w:endnote>
  <w:endnote w:type="continuationSeparator" w:id="0">
    <w:p w14:paraId="03F6CC95" w14:textId="77777777" w:rsidR="00E8093C" w:rsidRDefault="00E80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2825" w14:textId="77777777" w:rsidR="008E51D9" w:rsidRDefault="00B20177">
    <w:pPr>
      <w:pStyle w:val="Footer"/>
    </w:pP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62880B66" w14:textId="77777777" w:rsidR="008E51D9" w:rsidRDefault="008E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910D" w14:textId="61E6890C" w:rsidR="008E51D9" w:rsidRDefault="008E51D9">
    <w:pPr>
      <w:pStyle w:val="Footer"/>
      <w:spacing w:line="240" w:lineRule="auto"/>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E7A8" w14:textId="77777777" w:rsidR="00E8093C" w:rsidRDefault="00E8093C">
      <w:pPr>
        <w:spacing w:line="240" w:lineRule="auto"/>
      </w:pPr>
      <w:r>
        <w:separator/>
      </w:r>
    </w:p>
  </w:footnote>
  <w:footnote w:type="continuationSeparator" w:id="0">
    <w:p w14:paraId="194E4960" w14:textId="77777777" w:rsidR="00E8093C" w:rsidRDefault="00E809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0"/>
    <w:rsid w:val="00043469"/>
    <w:rsid w:val="0006282E"/>
    <w:rsid w:val="00072DE3"/>
    <w:rsid w:val="00090E70"/>
    <w:rsid w:val="00092A08"/>
    <w:rsid w:val="000C439D"/>
    <w:rsid w:val="000E3DD6"/>
    <w:rsid w:val="00180243"/>
    <w:rsid w:val="001E70EB"/>
    <w:rsid w:val="001F1D91"/>
    <w:rsid w:val="0024742E"/>
    <w:rsid w:val="00253059"/>
    <w:rsid w:val="0027649C"/>
    <w:rsid w:val="00277CBA"/>
    <w:rsid w:val="00281105"/>
    <w:rsid w:val="00290CEF"/>
    <w:rsid w:val="0029134E"/>
    <w:rsid w:val="002D76CB"/>
    <w:rsid w:val="00303DDC"/>
    <w:rsid w:val="00311D4A"/>
    <w:rsid w:val="003426D0"/>
    <w:rsid w:val="00354A38"/>
    <w:rsid w:val="00356E1C"/>
    <w:rsid w:val="00365F31"/>
    <w:rsid w:val="00366F62"/>
    <w:rsid w:val="00376DF0"/>
    <w:rsid w:val="00382B62"/>
    <w:rsid w:val="00386538"/>
    <w:rsid w:val="00396969"/>
    <w:rsid w:val="003B32E4"/>
    <w:rsid w:val="003D10F2"/>
    <w:rsid w:val="003F06CC"/>
    <w:rsid w:val="003F5E11"/>
    <w:rsid w:val="00401BBC"/>
    <w:rsid w:val="00440EE6"/>
    <w:rsid w:val="004513B5"/>
    <w:rsid w:val="00455F93"/>
    <w:rsid w:val="004B53E8"/>
    <w:rsid w:val="004C6F20"/>
    <w:rsid w:val="004D6FCD"/>
    <w:rsid w:val="004E5986"/>
    <w:rsid w:val="0050621B"/>
    <w:rsid w:val="00514D33"/>
    <w:rsid w:val="0054276E"/>
    <w:rsid w:val="0054778B"/>
    <w:rsid w:val="00557930"/>
    <w:rsid w:val="00582958"/>
    <w:rsid w:val="006050DF"/>
    <w:rsid w:val="00640415"/>
    <w:rsid w:val="00656B4C"/>
    <w:rsid w:val="00663D59"/>
    <w:rsid w:val="00677D02"/>
    <w:rsid w:val="00693ADB"/>
    <w:rsid w:val="006C3FF4"/>
    <w:rsid w:val="006D526B"/>
    <w:rsid w:val="006D5726"/>
    <w:rsid w:val="006F2177"/>
    <w:rsid w:val="00747691"/>
    <w:rsid w:val="0075415E"/>
    <w:rsid w:val="00762C2C"/>
    <w:rsid w:val="00767CD7"/>
    <w:rsid w:val="00773ACB"/>
    <w:rsid w:val="007A04BB"/>
    <w:rsid w:val="007A084B"/>
    <w:rsid w:val="007B6E8E"/>
    <w:rsid w:val="007C7ABA"/>
    <w:rsid w:val="00801C82"/>
    <w:rsid w:val="008056C2"/>
    <w:rsid w:val="00831FA9"/>
    <w:rsid w:val="0084664B"/>
    <w:rsid w:val="00874AF3"/>
    <w:rsid w:val="008B246E"/>
    <w:rsid w:val="008C426C"/>
    <w:rsid w:val="008E2319"/>
    <w:rsid w:val="008E51D9"/>
    <w:rsid w:val="008F4011"/>
    <w:rsid w:val="0090522E"/>
    <w:rsid w:val="00907D40"/>
    <w:rsid w:val="009225C1"/>
    <w:rsid w:val="00922ED1"/>
    <w:rsid w:val="00943A34"/>
    <w:rsid w:val="009926C6"/>
    <w:rsid w:val="009C2408"/>
    <w:rsid w:val="009D2EE1"/>
    <w:rsid w:val="009E7912"/>
    <w:rsid w:val="009F510E"/>
    <w:rsid w:val="009F592A"/>
    <w:rsid w:val="00A12971"/>
    <w:rsid w:val="00A15C3E"/>
    <w:rsid w:val="00A55B5E"/>
    <w:rsid w:val="00A60BE4"/>
    <w:rsid w:val="00A61345"/>
    <w:rsid w:val="00A64D8C"/>
    <w:rsid w:val="00A7516C"/>
    <w:rsid w:val="00A81AFE"/>
    <w:rsid w:val="00AA0E72"/>
    <w:rsid w:val="00AA178C"/>
    <w:rsid w:val="00AA1CD2"/>
    <w:rsid w:val="00AA2ACD"/>
    <w:rsid w:val="00AB3E88"/>
    <w:rsid w:val="00AB7219"/>
    <w:rsid w:val="00AC485F"/>
    <w:rsid w:val="00AD39D8"/>
    <w:rsid w:val="00AD7172"/>
    <w:rsid w:val="00B20177"/>
    <w:rsid w:val="00B25BF7"/>
    <w:rsid w:val="00B3222D"/>
    <w:rsid w:val="00B349C5"/>
    <w:rsid w:val="00B466A9"/>
    <w:rsid w:val="00B7320E"/>
    <w:rsid w:val="00B76A79"/>
    <w:rsid w:val="00B82885"/>
    <w:rsid w:val="00B82D74"/>
    <w:rsid w:val="00B93971"/>
    <w:rsid w:val="00BA2B90"/>
    <w:rsid w:val="00BA2FBE"/>
    <w:rsid w:val="00BD07FC"/>
    <w:rsid w:val="00BE1863"/>
    <w:rsid w:val="00BE7DF4"/>
    <w:rsid w:val="00BF5506"/>
    <w:rsid w:val="00C0565E"/>
    <w:rsid w:val="00C057CF"/>
    <w:rsid w:val="00C07207"/>
    <w:rsid w:val="00C102BE"/>
    <w:rsid w:val="00C33E73"/>
    <w:rsid w:val="00C47704"/>
    <w:rsid w:val="00C92A53"/>
    <w:rsid w:val="00CA34E3"/>
    <w:rsid w:val="00CB0C6D"/>
    <w:rsid w:val="00CE44AD"/>
    <w:rsid w:val="00CF3FFA"/>
    <w:rsid w:val="00D2160F"/>
    <w:rsid w:val="00D23614"/>
    <w:rsid w:val="00D26521"/>
    <w:rsid w:val="00D4213B"/>
    <w:rsid w:val="00D6481F"/>
    <w:rsid w:val="00D65EED"/>
    <w:rsid w:val="00D854A8"/>
    <w:rsid w:val="00D93EA3"/>
    <w:rsid w:val="00DA7C8A"/>
    <w:rsid w:val="00DC6E0F"/>
    <w:rsid w:val="00DD7782"/>
    <w:rsid w:val="00E033F1"/>
    <w:rsid w:val="00E07EA0"/>
    <w:rsid w:val="00E158CD"/>
    <w:rsid w:val="00E406A0"/>
    <w:rsid w:val="00E4300A"/>
    <w:rsid w:val="00E4619D"/>
    <w:rsid w:val="00E8093C"/>
    <w:rsid w:val="00EA0DBB"/>
    <w:rsid w:val="00EC66DB"/>
    <w:rsid w:val="00ED5C16"/>
    <w:rsid w:val="00F31828"/>
    <w:rsid w:val="00F55345"/>
    <w:rsid w:val="00F66A0A"/>
    <w:rsid w:val="00FB584B"/>
    <w:rsid w:val="00FB5CF2"/>
    <w:rsid w:val="00FE4FBD"/>
    <w:rsid w:val="7B4585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F0805"/>
  <w15:chartTrackingRefBased/>
  <w15:docId w15:val="{E1F91072-4570-4F84-BE74-14DE6C84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pPr>
      <w:spacing w:line="280" w:lineRule="exact"/>
    </w:pPr>
    <w:rPr>
      <w:rFonts w:ascii="Times" w:hAnsi="Times"/>
      <w:sz w:val="24"/>
    </w:rPr>
  </w:style>
  <w:style w:type="paragraph" w:styleId="Heading1">
    <w:name w:val="heading 1"/>
    <w:aliases w:val="h1"/>
    <w:basedOn w:val="Normal"/>
    <w:next w:val="Normal"/>
    <w:qFormat/>
    <w:rsid w:val="00BE1863"/>
    <w:pPr>
      <w:keepNext/>
      <w:keepLines/>
      <w:spacing w:before="360"/>
      <w:ind w:left="1800" w:right="1267" w:hanging="1080"/>
      <w:jc w:val="both"/>
      <w:outlineLvl w:val="0"/>
    </w:pPr>
    <w:rPr>
      <w:rFonts w:asciiTheme="minorHAnsi" w:hAnsiTheme="minorHAnsi"/>
      <w:b/>
      <w:smallCaps/>
    </w:rPr>
  </w:style>
  <w:style w:type="paragraph" w:styleId="Heading2">
    <w:name w:val="heading 2"/>
    <w:aliases w:val="h2"/>
    <w:basedOn w:val="Heading1"/>
    <w:next w:val="Normal"/>
    <w:qFormat/>
    <w:pPr>
      <w:numPr>
        <w:ilvl w:val="1"/>
        <w:numId w:val="9"/>
      </w:numPr>
      <w:outlineLvl w:val="1"/>
    </w:pPr>
    <w:rPr>
      <w:smallCaps w:val="0"/>
    </w:rPr>
  </w:style>
  <w:style w:type="paragraph" w:styleId="Heading3">
    <w:name w:val="heading 3"/>
    <w:aliases w:val="h3"/>
    <w:basedOn w:val="Heading1"/>
    <w:next w:val="Normal"/>
    <w:qFormat/>
    <w:pPr>
      <w:numPr>
        <w:ilvl w:val="2"/>
        <w:numId w:val="10"/>
      </w:numPr>
      <w:outlineLvl w:val="2"/>
    </w:pPr>
    <w:rPr>
      <w:smallCaps w:val="0"/>
    </w:rPr>
  </w:style>
  <w:style w:type="paragraph" w:styleId="Heading4">
    <w:name w:val="heading 4"/>
    <w:aliases w:val="h4"/>
    <w:basedOn w:val="Heading1"/>
    <w:next w:val="Normal"/>
    <w:qFormat/>
    <w:pPr>
      <w:numPr>
        <w:ilvl w:val="3"/>
        <w:numId w:val="11"/>
      </w:numPr>
      <w:outlineLvl w:val="3"/>
    </w:pPr>
    <w:rPr>
      <w:smallCaps w:val="0"/>
    </w:rPr>
  </w:style>
  <w:style w:type="paragraph" w:styleId="Heading5">
    <w:name w:val="heading 5"/>
    <w:basedOn w:val="Normal"/>
    <w:next w:val="Normal"/>
    <w:qFormat/>
    <w:pPr>
      <w:numPr>
        <w:ilvl w:val="4"/>
        <w:numId w:val="12"/>
      </w:numPr>
      <w:outlineLvl w:val="4"/>
    </w:pPr>
    <w:rPr>
      <w:b/>
    </w:rPr>
  </w:style>
  <w:style w:type="paragraph" w:styleId="Heading6">
    <w:name w:val="heading 6"/>
    <w:basedOn w:val="Normal"/>
    <w:next w:val="Normal"/>
    <w:qFormat/>
    <w:pPr>
      <w:numPr>
        <w:ilvl w:val="5"/>
        <w:numId w:val="13"/>
      </w:numPr>
      <w:outlineLvl w:val="5"/>
    </w:pPr>
  </w:style>
  <w:style w:type="paragraph" w:styleId="Heading7">
    <w:name w:val="heading 7"/>
    <w:basedOn w:val="Normal"/>
    <w:next w:val="Normal"/>
    <w:qFormat/>
    <w:pPr>
      <w:numPr>
        <w:ilvl w:val="6"/>
        <w:numId w:val="14"/>
      </w:numPr>
      <w:outlineLvl w:val="6"/>
    </w:pPr>
    <w:rPr>
      <w:i/>
    </w:rPr>
  </w:style>
  <w:style w:type="paragraph" w:styleId="Heading8">
    <w:name w:val="heading 8"/>
    <w:basedOn w:val="Normal"/>
    <w:next w:val="Normal"/>
    <w:qFormat/>
    <w:pPr>
      <w:numPr>
        <w:ilvl w:val="7"/>
        <w:numId w:val="15"/>
      </w:numPr>
      <w:outlineLvl w:val="7"/>
    </w:pPr>
    <w:rPr>
      <w:i/>
    </w:rPr>
  </w:style>
  <w:style w:type="paragraph" w:styleId="Heading9">
    <w:name w:val="heading 9"/>
    <w:basedOn w:val="Normal"/>
    <w:next w:val="Normal"/>
    <w:qFormat/>
    <w:pPr>
      <w:numPr>
        <w:ilvl w:val="8"/>
        <w:numId w:val="16"/>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120"/>
    </w:pPr>
  </w:style>
  <w:style w:type="paragraph" w:styleId="BodyTextIndent3">
    <w:name w:val="Body Text Indent 3"/>
    <w:basedOn w:val="Normal"/>
    <w:pPr>
      <w:spacing w:after="120"/>
      <w:ind w:left="360"/>
    </w:pPr>
  </w:style>
  <w:style w:type="paragraph" w:styleId="TOC8">
    <w:name w:val="toc 8"/>
    <w:aliases w:val="t8"/>
    <w:basedOn w:val="TOC1"/>
    <w:next w:val="Normal"/>
    <w:pPr>
      <w:tabs>
        <w:tab w:val="clear" w:pos="2160"/>
      </w:tabs>
      <w:spacing w:before="0" w:after="0"/>
      <w:ind w:left="0" w:firstLine="0"/>
    </w:pPr>
    <w:rPr>
      <w:smallCaps w:val="0"/>
    </w:rPr>
  </w:style>
  <w:style w:type="paragraph" w:styleId="TOC7">
    <w:name w:val="toc 7"/>
    <w:aliases w:val="t7"/>
    <w:basedOn w:val="TOC1"/>
    <w:next w:val="Normal"/>
    <w:pPr>
      <w:tabs>
        <w:tab w:val="clear" w:pos="2160"/>
      </w:tabs>
      <w:spacing w:before="0" w:after="0"/>
      <w:ind w:left="0" w:firstLine="0"/>
    </w:pPr>
    <w:rPr>
      <w:smallCaps w:val="0"/>
    </w:rPr>
  </w:style>
  <w:style w:type="paragraph" w:styleId="TOC6">
    <w:name w:val="toc 6"/>
    <w:aliases w:val="t6"/>
    <w:basedOn w:val="TOC1"/>
    <w:next w:val="Normal"/>
    <w:pPr>
      <w:tabs>
        <w:tab w:val="clear" w:pos="2160"/>
      </w:tabs>
      <w:spacing w:before="0" w:after="0"/>
      <w:ind w:left="0" w:firstLine="0"/>
    </w:pPr>
    <w:rPr>
      <w:smallCaps w:val="0"/>
    </w:rPr>
  </w:style>
  <w:style w:type="paragraph" w:styleId="TOC5">
    <w:name w:val="toc 5"/>
    <w:aliases w:val="t5"/>
    <w:basedOn w:val="TOC1"/>
    <w:next w:val="Normal"/>
    <w:pPr>
      <w:tabs>
        <w:tab w:val="left" w:pos="1440"/>
      </w:tabs>
      <w:spacing w:before="0" w:after="0"/>
    </w:pPr>
    <w:rPr>
      <w:smallCaps w:val="0"/>
    </w:rPr>
  </w:style>
  <w:style w:type="paragraph" w:styleId="TOC4">
    <w:name w:val="toc 4"/>
    <w:aliases w:val="t4"/>
    <w:basedOn w:val="TOC1"/>
    <w:next w:val="Normal"/>
    <w:pPr>
      <w:tabs>
        <w:tab w:val="clear" w:pos="2160"/>
      </w:tabs>
      <w:spacing w:after="0"/>
      <w:ind w:left="0" w:firstLine="0"/>
    </w:pPr>
    <w:rPr>
      <w:smallCaps w:val="0"/>
    </w:rPr>
  </w:style>
  <w:style w:type="paragraph" w:styleId="TOC3">
    <w:name w:val="toc 3"/>
    <w:aliases w:val="t3"/>
    <w:basedOn w:val="TOC1"/>
    <w:next w:val="Normal"/>
    <w:pPr>
      <w:tabs>
        <w:tab w:val="clear" w:pos="2160"/>
        <w:tab w:val="left" w:pos="2520"/>
      </w:tabs>
      <w:spacing w:before="0" w:after="0"/>
      <w:ind w:left="2520" w:hanging="1080"/>
    </w:pPr>
    <w:rPr>
      <w:smallCaps w:val="0"/>
    </w:rPr>
  </w:style>
  <w:style w:type="paragraph" w:styleId="TOC2">
    <w:name w:val="toc 2"/>
    <w:aliases w:val="t2"/>
    <w:basedOn w:val="TOC1"/>
    <w:next w:val="Normal"/>
    <w:pPr>
      <w:tabs>
        <w:tab w:val="clear" w:pos="2160"/>
        <w:tab w:val="left" w:pos="2520"/>
      </w:tabs>
      <w:spacing w:before="0" w:after="0"/>
      <w:ind w:left="2520" w:hanging="1980"/>
    </w:pPr>
    <w:rPr>
      <w:smallCaps w:val="0"/>
    </w:rPr>
  </w:style>
  <w:style w:type="paragraph" w:styleId="TOC1">
    <w:name w:val="toc 1"/>
    <w:aliases w:val="t1"/>
    <w:basedOn w:val="Normal"/>
    <w:next w:val="Normal"/>
    <w:pPr>
      <w:tabs>
        <w:tab w:val="left" w:pos="2160"/>
        <w:tab w:val="right" w:leader="dot" w:pos="9360"/>
      </w:tabs>
      <w:spacing w:before="280" w:after="120"/>
      <w:ind w:left="2160" w:right="1267" w:hanging="2160"/>
    </w:pPr>
    <w:rPr>
      <w:smallCaps/>
    </w:rPr>
  </w:style>
  <w:style w:type="character" w:styleId="CommentReference">
    <w:name w:val="annotation reference"/>
    <w:rPr>
      <w:rFonts w:ascii="Times" w:hAnsi="Times"/>
      <w:sz w:val="24"/>
    </w:rPr>
  </w:style>
  <w:style w:type="paragraph" w:styleId="CommentText">
    <w:name w:val="annotation text"/>
    <w:basedOn w:val="Normal"/>
  </w:style>
  <w:style w:type="character" w:styleId="Emphasis">
    <w:name w:val="Emphasis"/>
    <w:qFormat/>
    <w:rPr>
      <w:rFonts w:ascii="Times" w:hAnsi="Times"/>
    </w:rPr>
  </w:style>
  <w:style w:type="character" w:styleId="EndnoteReference">
    <w:name w:val="endnote reference"/>
    <w:rPr>
      <w:rFonts w:ascii="Times" w:hAnsi="Times"/>
      <w:position w:val="6"/>
      <w:vertAlign w:val="baselin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pPr>
      <w:ind w:left="240" w:hanging="240"/>
    </w:pPr>
  </w:style>
  <w:style w:type="character" w:styleId="LineNumber">
    <w:name w:val="line number"/>
    <w:rPr>
      <w:rFonts w:ascii="Times" w:hAnsi="Times"/>
      <w:sz w:val="24"/>
    </w:rPr>
  </w:style>
  <w:style w:type="paragraph" w:styleId="IndexHeading">
    <w:name w:val="index heading"/>
    <w:basedOn w:val="Normal"/>
    <w:next w:val="Index1"/>
    <w:rPr>
      <w:b/>
    </w:rPr>
  </w:style>
  <w:style w:type="paragraph" w:styleId="Footer">
    <w:name w:val="footer"/>
    <w:aliases w:val="f"/>
    <w:basedOn w:val="Normal"/>
    <w:pPr>
      <w:tabs>
        <w:tab w:val="center" w:pos="4680"/>
        <w:tab w:val="right" w:pos="9360"/>
      </w:tabs>
    </w:pPr>
    <w:rPr>
      <w:sz w:val="18"/>
    </w:rPr>
  </w:style>
  <w:style w:type="paragraph" w:styleId="Header">
    <w:name w:val="header"/>
    <w:aliases w:val="h"/>
    <w:basedOn w:val="Normal"/>
    <w:pPr>
      <w:tabs>
        <w:tab w:val="center" w:pos="4680"/>
        <w:tab w:val="right" w:pos="9360"/>
      </w:tabs>
    </w:pPr>
  </w:style>
  <w:style w:type="character" w:styleId="FootnoteReference">
    <w:name w:val="footnote reference"/>
    <w:aliases w:val="fr"/>
    <w:rPr>
      <w:rFonts w:ascii="Times" w:hAnsi="Times"/>
      <w:position w:val="6"/>
      <w:sz w:val="20"/>
      <w:vertAlign w:val="baseline"/>
    </w:rPr>
  </w:style>
  <w:style w:type="paragraph" w:styleId="FootnoteText">
    <w:name w:val="footnote text"/>
    <w:aliases w:val="ft"/>
    <w:basedOn w:val="Normal"/>
    <w:pPr>
      <w:spacing w:after="240" w:line="240" w:lineRule="exact"/>
      <w:ind w:left="720" w:hanging="720"/>
      <w:jc w:val="both"/>
    </w:pPr>
    <w:rPr>
      <w:sz w:val="20"/>
    </w:rPr>
  </w:style>
  <w:style w:type="character" w:customStyle="1" w:styleId="Style1">
    <w:name w:val="Style1"/>
    <w:basedOn w:val="DefaultParagraphFont"/>
  </w:style>
  <w:style w:type="paragraph" w:styleId="TOC9">
    <w:name w:val="toc 9"/>
    <w:aliases w:val="t9"/>
    <w:basedOn w:val="TOC1"/>
    <w:next w:val="Normal"/>
    <w:pPr>
      <w:tabs>
        <w:tab w:val="clear" w:pos="2160"/>
      </w:tabs>
      <w:spacing w:before="0" w:after="0"/>
      <w:ind w:left="0" w:firstLine="0"/>
    </w:pPr>
    <w:rPr>
      <w:smallCaps w:val="0"/>
    </w:rPr>
  </w:style>
  <w:style w:type="character" w:styleId="PageNumber">
    <w:name w:val="page number"/>
    <w:rPr>
      <w:rFonts w:ascii="Times" w:hAnsi="Times"/>
      <w:sz w:val="24"/>
    </w:rPr>
  </w:style>
  <w:style w:type="paragraph" w:styleId="Subtitle">
    <w:name w:val="Subtitle"/>
    <w:basedOn w:val="Normal"/>
    <w:qFormat/>
    <w:pPr>
      <w:spacing w:after="60"/>
      <w:jc w:val="center"/>
      <w:outlineLvl w:val="1"/>
    </w:pPr>
  </w:style>
  <w:style w:type="paragraph" w:styleId="Title">
    <w:name w:val="Title"/>
    <w:basedOn w:val="Normal"/>
    <w:qFormat/>
    <w:pPr>
      <w:spacing w:after="280"/>
      <w:jc w:val="center"/>
      <w:outlineLvl w:val="0"/>
    </w:pPr>
  </w:style>
  <w:style w:type="paragraph" w:customStyle="1" w:styleId="relineborder">
    <w:name w:val="reline border"/>
    <w:aliases w:val="rlb"/>
    <w:basedOn w:val="Normal"/>
    <w:pPr>
      <w:pBdr>
        <w:top w:val="single" w:sz="2" w:space="1" w:color="000000"/>
      </w:pBdr>
      <w:ind w:left="1800" w:right="1440"/>
    </w:pPr>
  </w:style>
  <w:style w:type="paragraph" w:customStyle="1" w:styleId="SubParaLevel0">
    <w:name w:val="SubParaLevel0"/>
    <w:aliases w:val="s0"/>
    <w:basedOn w:val="SubParaLevel1"/>
    <w:pPr>
      <w:ind w:firstLine="720"/>
    </w:pPr>
  </w:style>
  <w:style w:type="paragraph" w:customStyle="1" w:styleId="re">
    <w:name w:val="re"/>
    <w:basedOn w:val="Normal"/>
    <w:next w:val="Normal"/>
    <w:pPr>
      <w:tabs>
        <w:tab w:val="center" w:pos="4680"/>
      </w:tabs>
      <w:spacing w:before="400"/>
      <w:ind w:left="720" w:right="720"/>
    </w:pPr>
  </w:style>
  <w:style w:type="paragraph" w:customStyle="1" w:styleId="hangingindent">
    <w:name w:val="hanging indent"/>
    <w:aliases w:val="hang"/>
    <w:basedOn w:val="ParaNORMAL"/>
    <w:pPr>
      <w:ind w:left="720" w:hanging="720"/>
    </w:pPr>
  </w:style>
  <w:style w:type="paragraph" w:styleId="Date">
    <w:name w:val="Date"/>
    <w:basedOn w:val="Normal"/>
    <w:next w:val="Normal"/>
    <w:pPr>
      <w:spacing w:after="640"/>
      <w:jc w:val="center"/>
    </w:pPr>
  </w:style>
  <w:style w:type="paragraph" w:customStyle="1" w:styleId="Signature1">
    <w:name w:val="Signature1"/>
    <w:aliases w:val="s,sig"/>
    <w:basedOn w:val="Normal"/>
    <w:pPr>
      <w:keepNext/>
      <w:tabs>
        <w:tab w:val="decimal" w:leader="underscore" w:pos="9360"/>
      </w:tabs>
      <w:ind w:left="4968" w:hanging="288"/>
    </w:pPr>
  </w:style>
  <w:style w:type="paragraph" w:customStyle="1" w:styleId="NormalCenterBold">
    <w:name w:val="NormalCenterBold"/>
    <w:aliases w:val="ncb"/>
    <w:basedOn w:val="TitleCenterBold"/>
    <w:next w:val="ParaNORMAL"/>
    <w:pPr>
      <w:spacing w:before="0"/>
    </w:pPr>
  </w:style>
  <w:style w:type="paragraph" w:customStyle="1" w:styleId="TitleCenterBold">
    <w:name w:val="TitleCenterBold"/>
    <w:aliases w:val="tcb"/>
    <w:basedOn w:val="Normal"/>
    <w:next w:val="ParaNORMAL"/>
    <w:pPr>
      <w:keepNext/>
      <w:spacing w:before="360"/>
      <w:jc w:val="center"/>
    </w:pPr>
    <w:rPr>
      <w:b/>
      <w:smallCaps/>
    </w:rPr>
  </w:style>
  <w:style w:type="paragraph" w:customStyle="1" w:styleId="TitleLeft">
    <w:name w:val="TitleLeft"/>
    <w:aliases w:val="tl"/>
    <w:basedOn w:val="TitleCenterBold"/>
    <w:next w:val="Normal"/>
    <w:pPr>
      <w:tabs>
        <w:tab w:val="left" w:pos="1699"/>
      </w:tabs>
      <w:spacing w:before="320"/>
      <w:ind w:left="1699" w:hanging="1699"/>
      <w:jc w:val="left"/>
    </w:pPr>
    <w:rPr>
      <w:b w:val="0"/>
    </w:rPr>
  </w:style>
  <w:style w:type="paragraph" w:customStyle="1" w:styleId="Signature2">
    <w:name w:val="Signature2"/>
    <w:aliases w:val="sig2"/>
    <w:basedOn w:val="Signature1"/>
    <w:pPr>
      <w:tabs>
        <w:tab w:val="left" w:pos="4680"/>
      </w:tabs>
      <w:ind w:left="4950" w:hanging="4950"/>
    </w:pPr>
  </w:style>
  <w:style w:type="paragraph" w:customStyle="1" w:styleId="ParaNORMAL">
    <w:name w:val="ParaNORMAL"/>
    <w:aliases w:val="p"/>
    <w:basedOn w:val="Normal"/>
    <w:pPr>
      <w:spacing w:before="280"/>
      <w:ind w:firstLine="720"/>
      <w:jc w:val="both"/>
    </w:pPr>
  </w:style>
  <w:style w:type="paragraph" w:customStyle="1" w:styleId="ParaNUMBERED">
    <w:name w:val="ParaNUMBERED"/>
    <w:aliases w:val="pn"/>
    <w:basedOn w:val="ParaNORMAL"/>
    <w:pPr>
      <w:tabs>
        <w:tab w:val="right" w:pos="936"/>
        <w:tab w:val="left" w:pos="1238"/>
      </w:tabs>
      <w:ind w:firstLine="0"/>
    </w:pPr>
  </w:style>
  <w:style w:type="paragraph" w:customStyle="1" w:styleId="SubParaLevel1">
    <w:name w:val="SubParaLevel1"/>
    <w:aliases w:val="S1,s1"/>
    <w:basedOn w:val="ParaNORMAL"/>
    <w:pPr>
      <w:tabs>
        <w:tab w:val="right" w:pos="1800"/>
        <w:tab w:val="left" w:pos="2160"/>
      </w:tabs>
      <w:ind w:left="720" w:firstLine="0"/>
    </w:pPr>
  </w:style>
  <w:style w:type="paragraph" w:customStyle="1" w:styleId="ParaSECTION">
    <w:name w:val="ParaSECTION"/>
    <w:aliases w:val="ps"/>
    <w:basedOn w:val="ParaNORMAL"/>
    <w:pPr>
      <w:tabs>
        <w:tab w:val="right" w:pos="1699"/>
        <w:tab w:val="left" w:pos="2016"/>
      </w:tabs>
      <w:ind w:firstLine="0"/>
    </w:pPr>
  </w:style>
  <w:style w:type="paragraph" w:customStyle="1" w:styleId="SubParaLevel2">
    <w:name w:val="SubParaLevel2"/>
    <w:aliases w:val="s2"/>
    <w:basedOn w:val="SubParaLevel1"/>
    <w:pPr>
      <w:tabs>
        <w:tab w:val="clear" w:pos="1800"/>
        <w:tab w:val="clear" w:pos="2160"/>
        <w:tab w:val="right" w:pos="2520"/>
        <w:tab w:val="left" w:pos="2880"/>
      </w:tabs>
      <w:ind w:left="1440"/>
    </w:pPr>
  </w:style>
  <w:style w:type="paragraph" w:customStyle="1" w:styleId="QuotedText">
    <w:name w:val="QuotedText"/>
    <w:aliases w:val="qt"/>
    <w:basedOn w:val="ParaNORMAL"/>
    <w:pPr>
      <w:ind w:left="1440" w:right="1440" w:firstLine="0"/>
    </w:pPr>
  </w:style>
  <w:style w:type="paragraph" w:customStyle="1" w:styleId="SubParaLevel3">
    <w:name w:val="SubParaLevel3"/>
    <w:aliases w:val="s3"/>
    <w:basedOn w:val="SubParaLevel1"/>
    <w:pPr>
      <w:tabs>
        <w:tab w:val="clear" w:pos="1800"/>
        <w:tab w:val="clear" w:pos="2160"/>
        <w:tab w:val="right" w:pos="3240"/>
        <w:tab w:val="left" w:pos="3600"/>
      </w:tabs>
      <w:ind w:left="2160"/>
    </w:pPr>
  </w:style>
  <w:style w:type="paragraph" w:customStyle="1" w:styleId="SubParaLevel4">
    <w:name w:val="SubParaLevel4"/>
    <w:aliases w:val="s4"/>
    <w:basedOn w:val="SubParaLevel1"/>
    <w:pPr>
      <w:tabs>
        <w:tab w:val="clear" w:pos="1800"/>
        <w:tab w:val="clear" w:pos="2160"/>
        <w:tab w:val="right" w:pos="3960"/>
        <w:tab w:val="left" w:pos="4320"/>
      </w:tabs>
      <w:ind w:left="2880"/>
    </w:pPr>
  </w:style>
  <w:style w:type="paragraph" w:customStyle="1" w:styleId="ParaFLUSH">
    <w:name w:val="ParaFLUSH"/>
    <w:aliases w:val="pf"/>
    <w:basedOn w:val="ParaNORMAL"/>
    <w:pPr>
      <w:ind w:firstLine="0"/>
    </w:pPr>
  </w:style>
  <w:style w:type="paragraph" w:customStyle="1" w:styleId="DoubleLine">
    <w:name w:val="DoubleLine"/>
    <w:aliases w:val="d"/>
    <w:basedOn w:val="Normal"/>
    <w:next w:val="Normal"/>
    <w:pPr>
      <w:pBdr>
        <w:bottom w:val="double" w:sz="6" w:space="0" w:color="auto"/>
      </w:pBdr>
    </w:pPr>
  </w:style>
  <w:style w:type="paragraph" w:customStyle="1" w:styleId="CoverCenter">
    <w:name w:val="CoverCenter"/>
    <w:aliases w:val="c"/>
    <w:basedOn w:val="TitleCenterBold"/>
    <w:pPr>
      <w:spacing w:before="0"/>
    </w:pPr>
    <w:rPr>
      <w:b w:val="0"/>
    </w:rPr>
  </w:style>
  <w:style w:type="paragraph" w:customStyle="1" w:styleId="re1">
    <w:name w:val="re1"/>
    <w:basedOn w:val="Normal"/>
    <w:pPr>
      <w:tabs>
        <w:tab w:val="center" w:pos="4680"/>
      </w:tabs>
      <w:ind w:left="720" w:right="720"/>
      <w:jc w:val="center"/>
    </w:pPr>
  </w:style>
  <w:style w:type="paragraph" w:styleId="TOAHeading">
    <w:name w:val="toa heading"/>
    <w:basedOn w:val="Normal"/>
    <w:next w:val="Normal"/>
    <w:pP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Abbott</dc:creator>
  <cp:keywords/>
  <cp:lastModifiedBy>Ward, Jayme</cp:lastModifiedBy>
  <cp:revision>6</cp:revision>
  <cp:lastPrinted>1900-01-01T05:00:00Z</cp:lastPrinted>
  <dcterms:created xsi:type="dcterms:W3CDTF">2022-02-10T14:11:00Z</dcterms:created>
  <dcterms:modified xsi:type="dcterms:W3CDTF">2022-02-10T16:26:00Z</dcterms:modified>
</cp:coreProperties>
</file>