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95B47" w14:textId="50BE384B" w:rsidR="004E7119" w:rsidRDefault="002A3363">
      <w:pPr>
        <w:pStyle w:val="Heading2"/>
        <w:rPr>
          <w:rFonts w:ascii="Calibri" w:hAnsi="Calibri"/>
          <w:i w:val="0"/>
        </w:rPr>
      </w:pPr>
      <w:r>
        <w:rPr>
          <w:rFonts w:ascii="Calibri" w:hAnsi="Calibri"/>
          <w:i w:val="0"/>
        </w:rPr>
        <w:t>CR-05 - Goals and Outcomes</w:t>
      </w:r>
      <w:r w:rsidR="00044295">
        <w:rPr>
          <w:rFonts w:ascii="Calibri" w:hAnsi="Calibri"/>
          <w:i w:val="0"/>
        </w:rPr>
        <w:t xml:space="preserve">  </w:t>
      </w:r>
      <w:r w:rsidR="00044295">
        <w:rPr>
          <w:rFonts w:ascii="Calibri" w:hAnsi="Calibri"/>
          <w:i w:val="0"/>
        </w:rPr>
        <w:tab/>
      </w:r>
      <w:r w:rsidR="00044295">
        <w:rPr>
          <w:rFonts w:ascii="Calibri" w:hAnsi="Calibri"/>
          <w:i w:val="0"/>
        </w:rPr>
        <w:tab/>
      </w:r>
    </w:p>
    <w:p w14:paraId="7ADF5D6D" w14:textId="77777777" w:rsidR="004E7119" w:rsidRDefault="002A3363">
      <w:pPr>
        <w:keepNext/>
        <w:widowControl w:val="0"/>
        <w:spacing w:after="0" w:line="240" w:lineRule="auto"/>
        <w:rPr>
          <w:b/>
          <w:sz w:val="28"/>
          <w:szCs w:val="28"/>
        </w:rPr>
      </w:pPr>
      <w:r>
        <w:rPr>
          <w:b/>
          <w:sz w:val="24"/>
          <w:szCs w:val="24"/>
        </w:rPr>
        <w:t>Progress the jurisdiction has made in carrying out its strategic plan and its action plan.  91.520(a)</w:t>
      </w:r>
      <w:r>
        <w:rPr>
          <w:b/>
          <w:sz w:val="28"/>
          <w:szCs w:val="28"/>
        </w:rPr>
        <w:t xml:space="preserve"> </w:t>
      </w:r>
    </w:p>
    <w:p w14:paraId="661005FF" w14:textId="77777777" w:rsidR="004E7119" w:rsidRDefault="002A3363">
      <w:pPr>
        <w:keepNext/>
        <w:widowControl w:val="0"/>
        <w:spacing w:after="0" w:line="240" w:lineRule="auto"/>
      </w:pPr>
      <w:r>
        <w:t>This could be an overview that includes major initiatives and highlights that were proposed and executed throughout the program year.</w:t>
      </w:r>
    </w:p>
    <w:p w14:paraId="1AE5CA14" w14:textId="5AB0DC12" w:rsidR="009C50F0" w:rsidRPr="00FD1C8F" w:rsidRDefault="002A3363">
      <w:pPr>
        <w:widowControl w:val="0"/>
        <w:spacing w:beforeAutospacing="1" w:afterAutospacing="1"/>
      </w:pPr>
      <w:r>
        <w:t>The Brevard County Consortium's Consolidated Annual Performance Evaluation Report (CAPER</w:t>
      </w:r>
      <w:r w:rsidRPr="00FD1C8F">
        <w:t>)</w:t>
      </w:r>
      <w:r w:rsidR="00845FD1" w:rsidRPr="00FD1C8F">
        <w:t>, currently in the 2</w:t>
      </w:r>
      <w:r w:rsidR="00845FD1" w:rsidRPr="00FD1C8F">
        <w:rPr>
          <w:vertAlign w:val="superscript"/>
        </w:rPr>
        <w:t>nd</w:t>
      </w:r>
      <w:r w:rsidR="00845FD1" w:rsidRPr="00FD1C8F">
        <w:t xml:space="preserve"> year of </w:t>
      </w:r>
      <w:r w:rsidR="00BC5257" w:rsidRPr="00FD1C8F">
        <w:t>the</w:t>
      </w:r>
      <w:r w:rsidR="00845FD1" w:rsidRPr="00FD1C8F">
        <w:t xml:space="preserve"> 2022-202</w:t>
      </w:r>
      <w:r w:rsidR="00C76874" w:rsidRPr="00FD1C8F">
        <w:t>6</w:t>
      </w:r>
      <w:r w:rsidR="00845FD1" w:rsidRPr="00FD1C8F">
        <w:t xml:space="preserve"> Consolidated Plan,</w:t>
      </w:r>
      <w:r w:rsidRPr="00FD1C8F">
        <w:t xml:space="preserve"> summarizes the expenditures, accomplishments and progress made </w:t>
      </w:r>
      <w:proofErr w:type="gramStart"/>
      <w:r w:rsidRPr="00FD1C8F">
        <w:t>through the use of</w:t>
      </w:r>
      <w:proofErr w:type="gramEnd"/>
      <w:r w:rsidRPr="00FD1C8F">
        <w:t xml:space="preserve"> entitlement funds allocated from the United States Department of Housing and Urban Development (HUD) for fiscal year 202</w:t>
      </w:r>
      <w:r w:rsidR="008159B5" w:rsidRPr="00FD1C8F">
        <w:t>3</w:t>
      </w:r>
      <w:r w:rsidRPr="00FD1C8F">
        <w:t>-202</w:t>
      </w:r>
      <w:r w:rsidR="008159B5" w:rsidRPr="00FD1C8F">
        <w:t>4</w:t>
      </w:r>
      <w:r w:rsidRPr="00FD1C8F">
        <w:t>. The proposed goals</w:t>
      </w:r>
      <w:r w:rsidR="009C50F0" w:rsidRPr="00FD1C8F">
        <w:t>,</w:t>
      </w:r>
      <w:r w:rsidRPr="00FD1C8F">
        <w:t xml:space="preserve"> objectives</w:t>
      </w:r>
      <w:r w:rsidR="009C50F0" w:rsidRPr="00FD1C8F">
        <w:t>,</w:t>
      </w:r>
      <w:r w:rsidRPr="00FD1C8F">
        <w:t xml:space="preserve"> and </w:t>
      </w:r>
      <w:r w:rsidRPr="00F927FF">
        <w:t xml:space="preserve">outcomes </w:t>
      </w:r>
      <w:r w:rsidRPr="00FD1C8F">
        <w:t>were</w:t>
      </w:r>
      <w:r w:rsidR="009C50F0" w:rsidRPr="00FD1C8F">
        <w:t xml:space="preserve"> as follows:</w:t>
      </w:r>
    </w:p>
    <w:p w14:paraId="69AF7134" w14:textId="3CCFCECF" w:rsidR="009C50F0" w:rsidRPr="00FD1C8F" w:rsidRDefault="002A3363" w:rsidP="009C50F0">
      <w:pPr>
        <w:pStyle w:val="ListParagraph"/>
        <w:widowControl w:val="0"/>
        <w:numPr>
          <w:ilvl w:val="0"/>
          <w:numId w:val="19"/>
        </w:numPr>
        <w:spacing w:beforeAutospacing="1" w:afterAutospacing="1"/>
        <w:rPr>
          <w:szCs w:val="24"/>
        </w:rPr>
      </w:pPr>
      <w:r w:rsidRPr="00FD1C8F">
        <w:t xml:space="preserve">to </w:t>
      </w:r>
      <w:r w:rsidR="007F5A9C" w:rsidRPr="00FD1C8F">
        <w:t>expand and improve</w:t>
      </w:r>
      <w:r w:rsidRPr="00FD1C8F">
        <w:t xml:space="preserve"> affordable housing (rental and ownership)</w:t>
      </w:r>
      <w:r w:rsidR="006E6502" w:rsidRPr="00FD1C8F">
        <w:t xml:space="preserve"> for the purpose of providing decent affordable housing</w:t>
      </w:r>
    </w:p>
    <w:p w14:paraId="63170CA8" w14:textId="22087BE8" w:rsidR="009C50F0" w:rsidRPr="00FD1C8F" w:rsidRDefault="009C50F0" w:rsidP="009C50F0">
      <w:pPr>
        <w:pStyle w:val="ListParagraph"/>
        <w:widowControl w:val="0"/>
        <w:numPr>
          <w:ilvl w:val="0"/>
          <w:numId w:val="19"/>
        </w:numPr>
        <w:spacing w:beforeAutospacing="1" w:afterAutospacing="1"/>
        <w:rPr>
          <w:szCs w:val="24"/>
        </w:rPr>
      </w:pPr>
      <w:r w:rsidRPr="00FD1C8F">
        <w:t xml:space="preserve">to </w:t>
      </w:r>
      <w:r w:rsidR="002A3363" w:rsidRPr="00FD1C8F">
        <w:t>improve the quality of owner occupied housing through rehabilitation programs</w:t>
      </w:r>
      <w:r w:rsidR="007F5A9C" w:rsidRPr="00FD1C8F">
        <w:t xml:space="preserve"> for the purpose of creating suitable living environments</w:t>
      </w:r>
    </w:p>
    <w:p w14:paraId="5E1C22F5" w14:textId="38E0D259" w:rsidR="009C50F0" w:rsidRPr="00FD1C8F" w:rsidRDefault="009C50F0" w:rsidP="009C50F0">
      <w:pPr>
        <w:pStyle w:val="ListParagraph"/>
        <w:widowControl w:val="0"/>
        <w:numPr>
          <w:ilvl w:val="0"/>
          <w:numId w:val="19"/>
        </w:numPr>
        <w:spacing w:beforeAutospacing="1" w:afterAutospacing="1"/>
        <w:rPr>
          <w:szCs w:val="24"/>
        </w:rPr>
      </w:pPr>
      <w:r w:rsidRPr="00FD1C8F">
        <w:t xml:space="preserve">to </w:t>
      </w:r>
      <w:r w:rsidR="002A3363" w:rsidRPr="00FD1C8F">
        <w:t>increase Community Housing Development Organization (CHDO) capacity</w:t>
      </w:r>
      <w:r w:rsidR="007F5A9C" w:rsidRPr="00FD1C8F">
        <w:t xml:space="preserve"> for the purpose of providing decent affordable housing</w:t>
      </w:r>
    </w:p>
    <w:p w14:paraId="6805E4D9" w14:textId="7AB56ED8" w:rsidR="009C50F0" w:rsidRPr="00FD1C8F" w:rsidRDefault="009C50F0" w:rsidP="009C50F0">
      <w:pPr>
        <w:pStyle w:val="ListParagraph"/>
        <w:widowControl w:val="0"/>
        <w:numPr>
          <w:ilvl w:val="0"/>
          <w:numId w:val="19"/>
        </w:numPr>
        <w:spacing w:beforeAutospacing="1" w:afterAutospacing="1"/>
        <w:rPr>
          <w:szCs w:val="24"/>
        </w:rPr>
      </w:pPr>
      <w:r w:rsidRPr="00FD1C8F">
        <w:t xml:space="preserve">to </w:t>
      </w:r>
      <w:r w:rsidR="002A3363" w:rsidRPr="00FD1C8F">
        <w:t>conduct fair housing education and/or testing</w:t>
      </w:r>
      <w:r w:rsidR="007F5A9C" w:rsidRPr="00FD1C8F">
        <w:t xml:space="preserve"> </w:t>
      </w:r>
      <w:r w:rsidR="00380EAD" w:rsidRPr="00FD1C8F">
        <w:t>for the purpose of providing accessibility to decent affordable housing</w:t>
      </w:r>
    </w:p>
    <w:p w14:paraId="00E63CB0" w14:textId="4B8D56C6" w:rsidR="009C50F0" w:rsidRPr="00FD1C8F" w:rsidRDefault="009C50F0" w:rsidP="009C50F0">
      <w:pPr>
        <w:pStyle w:val="ListParagraph"/>
        <w:widowControl w:val="0"/>
        <w:numPr>
          <w:ilvl w:val="0"/>
          <w:numId w:val="19"/>
        </w:numPr>
        <w:spacing w:beforeAutospacing="1" w:afterAutospacing="1"/>
        <w:rPr>
          <w:szCs w:val="24"/>
        </w:rPr>
      </w:pPr>
      <w:r w:rsidRPr="00FD1C8F">
        <w:t>to</w:t>
      </w:r>
      <w:r w:rsidR="002A3363" w:rsidRPr="00FD1C8F">
        <w:t xml:space="preserve"> increase the availability of community development </w:t>
      </w:r>
      <w:r w:rsidR="00516D38" w:rsidRPr="00FD1C8F">
        <w:t xml:space="preserve">for the purpose of </w:t>
      </w:r>
      <w:r w:rsidR="000A700E" w:rsidRPr="00FD1C8F">
        <w:t xml:space="preserve">creating </w:t>
      </w:r>
      <w:r w:rsidR="00516D38" w:rsidRPr="00FD1C8F">
        <w:t>suitable</w:t>
      </w:r>
      <w:r w:rsidR="002A3363" w:rsidRPr="00FD1C8F">
        <w:t xml:space="preserve"> living environments</w:t>
      </w:r>
    </w:p>
    <w:p w14:paraId="46222B05" w14:textId="3447B966" w:rsidR="004E7119" w:rsidRPr="00FD1C8F" w:rsidRDefault="009C50F0" w:rsidP="009C50F0">
      <w:pPr>
        <w:pStyle w:val="ListParagraph"/>
        <w:widowControl w:val="0"/>
        <w:numPr>
          <w:ilvl w:val="0"/>
          <w:numId w:val="19"/>
        </w:numPr>
        <w:spacing w:beforeAutospacing="1" w:afterAutospacing="1"/>
        <w:rPr>
          <w:szCs w:val="24"/>
        </w:rPr>
      </w:pPr>
      <w:r w:rsidRPr="00FD1C8F">
        <w:t xml:space="preserve">to </w:t>
      </w:r>
      <w:r w:rsidR="002A3363" w:rsidRPr="00FD1C8F">
        <w:t>provide public service programs</w:t>
      </w:r>
      <w:r w:rsidR="00516D38" w:rsidRPr="00FD1C8F">
        <w:t xml:space="preserve"> for the purpose of creating economic opportunities and suitable living environments</w:t>
      </w:r>
    </w:p>
    <w:p w14:paraId="3E4EA47A" w14:textId="1D8379DF" w:rsidR="002623FE" w:rsidRPr="00FD1C8F" w:rsidRDefault="002623FE" w:rsidP="009C50F0">
      <w:pPr>
        <w:pStyle w:val="ListParagraph"/>
        <w:widowControl w:val="0"/>
        <w:numPr>
          <w:ilvl w:val="0"/>
          <w:numId w:val="19"/>
        </w:numPr>
        <w:spacing w:beforeAutospacing="1" w:afterAutospacing="1"/>
        <w:rPr>
          <w:szCs w:val="24"/>
        </w:rPr>
      </w:pPr>
      <w:r w:rsidRPr="00FD1C8F">
        <w:rPr>
          <w:szCs w:val="24"/>
        </w:rPr>
        <w:t>to provide administration of programs that provide a</w:t>
      </w:r>
      <w:r w:rsidRPr="00FD1C8F">
        <w:rPr>
          <w:color w:val="000000"/>
        </w:rPr>
        <w:t>ffordable housing, access to human services, community and economic development, and equitable access to housing</w:t>
      </w:r>
    </w:p>
    <w:p w14:paraId="27D94A7D" w14:textId="17D51A46" w:rsidR="004E7119" w:rsidRDefault="002A3363" w:rsidP="00F303B3">
      <w:pPr>
        <w:widowControl w:val="0"/>
        <w:spacing w:beforeAutospacing="1" w:afterAutospacing="1" w:line="240" w:lineRule="auto"/>
        <w:rPr>
          <w:szCs w:val="24"/>
        </w:rPr>
      </w:pPr>
      <w:r w:rsidRPr="00FD1C8F">
        <w:t xml:space="preserve">The accomplishments include; </w:t>
      </w:r>
      <w:r w:rsidR="003917ED">
        <w:t xml:space="preserve"> </w:t>
      </w:r>
      <w:r w:rsidR="001748F8" w:rsidRPr="00FD1C8F">
        <w:t xml:space="preserve">4 </w:t>
      </w:r>
      <w:r w:rsidRPr="00FD1C8F">
        <w:t xml:space="preserve">Owner Occupied Rehabilitations,  </w:t>
      </w:r>
      <w:r w:rsidR="001748F8" w:rsidRPr="00FD1C8F">
        <w:t xml:space="preserve">4 </w:t>
      </w:r>
      <w:r w:rsidRPr="00FD1C8F">
        <w:t>Rentals, and  </w:t>
      </w:r>
      <w:r w:rsidR="001748F8" w:rsidRPr="00FD1C8F">
        <w:t>4</w:t>
      </w:r>
      <w:r w:rsidRPr="00FD1C8F">
        <w:t xml:space="preserve"> First Time Homebuyer projects and Counseling Services. Additional projects were completed before fiscal year </w:t>
      </w:r>
      <w:r w:rsidR="003917ED">
        <w:t>2023</w:t>
      </w:r>
      <w:r w:rsidRPr="00FD1C8F">
        <w:t xml:space="preserve"> and these expenditures may be realized in Fiscal Year 202</w:t>
      </w:r>
      <w:r w:rsidR="0038548B">
        <w:t>4</w:t>
      </w:r>
      <w:r w:rsidRPr="00FD1C8F">
        <w:t>-202</w:t>
      </w:r>
      <w:r w:rsidR="0038548B">
        <w:t>5</w:t>
      </w:r>
      <w:r w:rsidRPr="00FD1C8F">
        <w:t>. Additionally,</w:t>
      </w:r>
      <w:r>
        <w:t xml:space="preserve"> the County has </w:t>
      </w:r>
      <w:r w:rsidRPr="00A35D10">
        <w:t>CDBG public facility and</w:t>
      </w:r>
      <w:r>
        <w:t xml:space="preserve"> </w:t>
      </w:r>
      <w:r w:rsidRPr="00A35D10">
        <w:t>infrastructure improvement projects</w:t>
      </w:r>
      <w:r>
        <w:t xml:space="preserve"> underway. There were </w:t>
      </w:r>
      <w:r w:rsidRPr="00FD1C8F">
        <w:t xml:space="preserve">also </w:t>
      </w:r>
      <w:r w:rsidR="00DE1325" w:rsidRPr="00FD1C8F">
        <w:t>1</w:t>
      </w:r>
      <w:r w:rsidR="00FD1C8F" w:rsidRPr="00FD1C8F">
        <w:t>415</w:t>
      </w:r>
      <w:r>
        <w:t xml:space="preserve"> unduplicated clients served through various public service activities.</w:t>
      </w:r>
    </w:p>
    <w:p w14:paraId="560B77EC" w14:textId="0593417E" w:rsidR="004E7119" w:rsidRDefault="002A3363">
      <w:pPr>
        <w:widowControl w:val="0"/>
        <w:spacing w:beforeAutospacing="1" w:afterAutospacing="1"/>
        <w:rPr>
          <w:szCs w:val="24"/>
        </w:rPr>
      </w:pPr>
      <w:r>
        <w:t xml:space="preserve">The two section 108 loan projects included the Health Department and the West Canaveral Groves waterline. The Health Department is run by the State of Florida to provide health services to the indigent residents of Brevard County; particularly in the Melbourne/Palm Bay area. This project was completed on December 30, 2016. For the current fiscal year, the loan payment for the </w:t>
      </w:r>
      <w:proofErr w:type="gramStart"/>
      <w:r>
        <w:t>Health</w:t>
      </w:r>
      <w:proofErr w:type="gramEnd"/>
      <w:r>
        <w:t xml:space="preserve"> department </w:t>
      </w:r>
      <w:r w:rsidRPr="00FD1C8F">
        <w:t>was $</w:t>
      </w:r>
      <w:r w:rsidR="00EE61C5" w:rsidRPr="00FD1C8F">
        <w:t>105,907.58</w:t>
      </w:r>
      <w:r w:rsidRPr="00FD1C8F">
        <w:t xml:space="preserve">. The West Canaveral Groves project was approximately 19,000 feet of water main that was constructed along Satellite Boulevard in the West Canaveral Groves area. This potable water source will provide clean healthy water to residents who used wells as their primary source of water for personal hygiene and cleaning. This project was completed on September 6, 2018. The </w:t>
      </w:r>
      <w:r w:rsidR="005E46D8">
        <w:t xml:space="preserve">final </w:t>
      </w:r>
      <w:r w:rsidRPr="00FD1C8F">
        <w:t>loan payment for the West Canaveral Groves waterline was $</w:t>
      </w:r>
      <w:r w:rsidR="00EE61C5" w:rsidRPr="00FD1C8F">
        <w:t>1,079,424.72</w:t>
      </w:r>
    </w:p>
    <w:p w14:paraId="110482C3" w14:textId="77777777" w:rsidR="004E7119" w:rsidRDefault="002A3363">
      <w:pPr>
        <w:keepNext/>
        <w:widowControl w:val="0"/>
        <w:spacing w:after="0" w:line="240" w:lineRule="auto"/>
        <w:rPr>
          <w:b/>
          <w:sz w:val="24"/>
          <w:szCs w:val="24"/>
        </w:rPr>
      </w:pPr>
      <w:r>
        <w:rPr>
          <w:b/>
          <w:sz w:val="24"/>
          <w:szCs w:val="24"/>
        </w:rPr>
        <w:lastRenderedPageBreak/>
        <w:t>Comparison of the proposed versus actual outcomes for each outcome measure submitted with the consolidated plan and explain, if applicable, why progress was not made toward meeting goals and objectives.  91.520(g)</w:t>
      </w:r>
    </w:p>
    <w:p w14:paraId="75192723" w14:textId="77777777" w:rsidR="004E7119" w:rsidRDefault="002A3363">
      <w:pPr>
        <w:keepNext/>
        <w:widowControl w:val="0"/>
        <w:spacing w:after="0" w:line="240" w:lineRule="auto"/>
        <w:rPr>
          <w:szCs w:val="24"/>
        </w:rPr>
      </w:pPr>
      <w:r>
        <w:t>Categories, priority levels, funding sources and amounts, outcomes/objectives, goal outcome indicators, units of measure, targets, actual outcomes/outputs, and percentage completed for each of the grantee’s program year goals.</w:t>
      </w:r>
    </w:p>
    <w:p w14:paraId="60FF61AC" w14:textId="77777777" w:rsidR="004E7119" w:rsidRDefault="004E7119">
      <w:pPr>
        <w:widowControl w:val="0"/>
        <w:rPr>
          <w:b/>
          <w:sz w:val="24"/>
          <w:szCs w:val="24"/>
        </w:rPr>
      </w:pPr>
    </w:p>
    <w:tbl>
      <w:tblPr>
        <w:tblStyle w:val="TableGrid"/>
        <w:tblW w:w="13728" w:type="dxa"/>
        <w:tblInd w:w="0" w:type="dxa"/>
        <w:tblLook w:val="04A0" w:firstRow="1" w:lastRow="0" w:firstColumn="1" w:lastColumn="0" w:noHBand="0" w:noVBand="1"/>
      </w:tblPr>
      <w:tblGrid>
        <w:gridCol w:w="1776"/>
        <w:gridCol w:w="1685"/>
        <w:gridCol w:w="957"/>
        <w:gridCol w:w="1990"/>
        <w:gridCol w:w="1334"/>
        <w:gridCol w:w="992"/>
        <w:gridCol w:w="967"/>
        <w:gridCol w:w="1040"/>
        <w:gridCol w:w="992"/>
        <w:gridCol w:w="949"/>
        <w:gridCol w:w="1046"/>
      </w:tblGrid>
      <w:tr w:rsidR="004E7119" w14:paraId="54BB44F1" w14:textId="77777777">
        <w:tc>
          <w:tcPr>
            <w:tcW w:w="1248" w:type="dxa"/>
          </w:tcPr>
          <w:p w14:paraId="4052FC58" w14:textId="77777777" w:rsidR="004E7119" w:rsidRDefault="002A3363">
            <w:pPr>
              <w:keepNext/>
              <w:widowControl w:val="0"/>
              <w:spacing w:after="0" w:line="240" w:lineRule="auto"/>
              <w:rPr>
                <w:b/>
              </w:rPr>
            </w:pPr>
            <w:r>
              <w:rPr>
                <w:b/>
              </w:rPr>
              <w:t>Goal</w:t>
            </w:r>
          </w:p>
        </w:tc>
        <w:tc>
          <w:tcPr>
            <w:tcW w:w="1248" w:type="dxa"/>
          </w:tcPr>
          <w:p w14:paraId="4AA79548" w14:textId="77777777" w:rsidR="004E7119" w:rsidRDefault="002A3363">
            <w:pPr>
              <w:keepNext/>
              <w:widowControl w:val="0"/>
              <w:spacing w:after="0" w:line="240" w:lineRule="auto"/>
              <w:rPr>
                <w:b/>
              </w:rPr>
            </w:pPr>
            <w:r>
              <w:rPr>
                <w:b/>
              </w:rPr>
              <w:t>Category</w:t>
            </w:r>
          </w:p>
        </w:tc>
        <w:tc>
          <w:tcPr>
            <w:tcW w:w="1248" w:type="dxa"/>
          </w:tcPr>
          <w:p w14:paraId="1A16D8C7" w14:textId="77777777" w:rsidR="004E7119" w:rsidRDefault="002A3363">
            <w:pPr>
              <w:keepNext/>
              <w:widowControl w:val="0"/>
              <w:spacing w:after="0" w:line="240" w:lineRule="auto"/>
              <w:rPr>
                <w:b/>
              </w:rPr>
            </w:pPr>
            <w:r>
              <w:rPr>
                <w:b/>
              </w:rPr>
              <w:t>Source / Amount</w:t>
            </w:r>
          </w:p>
        </w:tc>
        <w:tc>
          <w:tcPr>
            <w:tcW w:w="1248" w:type="dxa"/>
          </w:tcPr>
          <w:p w14:paraId="79871A2A" w14:textId="77777777" w:rsidR="004E7119" w:rsidRDefault="002A3363">
            <w:pPr>
              <w:keepNext/>
              <w:widowControl w:val="0"/>
              <w:spacing w:after="0" w:line="240" w:lineRule="auto"/>
              <w:rPr>
                <w:b/>
              </w:rPr>
            </w:pPr>
            <w:r>
              <w:rPr>
                <w:b/>
              </w:rPr>
              <w:t>Indicator</w:t>
            </w:r>
          </w:p>
        </w:tc>
        <w:tc>
          <w:tcPr>
            <w:tcW w:w="1248" w:type="dxa"/>
          </w:tcPr>
          <w:p w14:paraId="4F03AF39" w14:textId="77777777" w:rsidR="004E7119" w:rsidRDefault="002A3363">
            <w:pPr>
              <w:keepNext/>
              <w:widowControl w:val="0"/>
              <w:spacing w:after="0" w:line="240" w:lineRule="auto"/>
              <w:rPr>
                <w:b/>
              </w:rPr>
            </w:pPr>
            <w:r>
              <w:rPr>
                <w:b/>
              </w:rPr>
              <w:t>Unit of Measure</w:t>
            </w:r>
          </w:p>
        </w:tc>
        <w:tc>
          <w:tcPr>
            <w:tcW w:w="1248" w:type="dxa"/>
          </w:tcPr>
          <w:p w14:paraId="5B66022F" w14:textId="77777777" w:rsidR="004E7119" w:rsidRDefault="002A3363">
            <w:pPr>
              <w:keepNext/>
              <w:widowControl w:val="0"/>
              <w:spacing w:after="0" w:line="240" w:lineRule="auto"/>
              <w:rPr>
                <w:b/>
              </w:rPr>
            </w:pPr>
            <w:r>
              <w:rPr>
                <w:b/>
              </w:rPr>
              <w:t>Expected – Strategic Plan</w:t>
            </w:r>
          </w:p>
        </w:tc>
        <w:tc>
          <w:tcPr>
            <w:tcW w:w="1248" w:type="dxa"/>
          </w:tcPr>
          <w:p w14:paraId="736EB52A" w14:textId="77777777" w:rsidR="004E7119" w:rsidRDefault="002A3363">
            <w:pPr>
              <w:keepNext/>
              <w:widowControl w:val="0"/>
              <w:spacing w:after="0" w:line="240" w:lineRule="auto"/>
              <w:rPr>
                <w:b/>
              </w:rPr>
            </w:pPr>
            <w:r>
              <w:rPr>
                <w:b/>
              </w:rPr>
              <w:t>Actual – Strategic Plan</w:t>
            </w:r>
          </w:p>
        </w:tc>
        <w:tc>
          <w:tcPr>
            <w:tcW w:w="1248" w:type="dxa"/>
          </w:tcPr>
          <w:p w14:paraId="79290244" w14:textId="77777777" w:rsidR="004E7119" w:rsidRDefault="002A3363">
            <w:pPr>
              <w:keepNext/>
              <w:widowControl w:val="0"/>
              <w:spacing w:after="0" w:line="240" w:lineRule="auto"/>
              <w:rPr>
                <w:b/>
              </w:rPr>
            </w:pPr>
            <w:r>
              <w:rPr>
                <w:b/>
              </w:rPr>
              <w:t>Percent Complete</w:t>
            </w:r>
          </w:p>
        </w:tc>
        <w:tc>
          <w:tcPr>
            <w:tcW w:w="1248" w:type="dxa"/>
          </w:tcPr>
          <w:p w14:paraId="3548EE34" w14:textId="77777777" w:rsidR="004E7119" w:rsidRDefault="002A3363">
            <w:pPr>
              <w:keepNext/>
              <w:widowControl w:val="0"/>
              <w:spacing w:after="0" w:line="240" w:lineRule="auto"/>
              <w:rPr>
                <w:b/>
              </w:rPr>
            </w:pPr>
            <w:r>
              <w:rPr>
                <w:b/>
              </w:rPr>
              <w:t>Expected – Program Year</w:t>
            </w:r>
          </w:p>
        </w:tc>
        <w:tc>
          <w:tcPr>
            <w:tcW w:w="1248" w:type="dxa"/>
          </w:tcPr>
          <w:p w14:paraId="49E71256" w14:textId="77777777" w:rsidR="004E7119" w:rsidRDefault="002A3363">
            <w:pPr>
              <w:keepNext/>
              <w:widowControl w:val="0"/>
              <w:spacing w:after="0" w:line="240" w:lineRule="auto"/>
              <w:rPr>
                <w:b/>
              </w:rPr>
            </w:pPr>
            <w:r>
              <w:rPr>
                <w:b/>
              </w:rPr>
              <w:t>Actual – Program Year</w:t>
            </w:r>
          </w:p>
        </w:tc>
        <w:tc>
          <w:tcPr>
            <w:tcW w:w="1248" w:type="dxa"/>
          </w:tcPr>
          <w:p w14:paraId="40B75817" w14:textId="77777777" w:rsidR="004E7119" w:rsidRDefault="002A3363">
            <w:pPr>
              <w:keepNext/>
              <w:widowControl w:val="0"/>
              <w:spacing w:after="0" w:line="240" w:lineRule="auto"/>
              <w:rPr>
                <w:b/>
              </w:rPr>
            </w:pPr>
            <w:r>
              <w:rPr>
                <w:b/>
              </w:rPr>
              <w:t>Percent Complete</w:t>
            </w:r>
          </w:p>
        </w:tc>
      </w:tr>
      <w:tr w:rsidR="004E7119" w14:paraId="1C7442A8" w14:textId="77777777">
        <w:trPr>
          <w:cantSplit/>
        </w:trPr>
        <w:tc>
          <w:tcPr>
            <w:tcW w:w="0" w:type="auto"/>
            <w:vAlign w:val="center"/>
          </w:tcPr>
          <w:p w14:paraId="2F50C28B" w14:textId="77777777" w:rsidR="004E7119" w:rsidRDefault="002A3363">
            <w:pPr>
              <w:spacing w:beforeAutospacing="1" w:afterAutospacing="1"/>
            </w:pPr>
            <w:r>
              <w:rPr>
                <w:color w:val="000000"/>
                <w:sz w:val="22"/>
              </w:rPr>
              <w:t>Administration</w:t>
            </w:r>
          </w:p>
        </w:tc>
        <w:tc>
          <w:tcPr>
            <w:tcW w:w="0" w:type="auto"/>
            <w:vAlign w:val="center"/>
          </w:tcPr>
          <w:p w14:paraId="4844250A" w14:textId="77777777" w:rsidR="004E7119" w:rsidRDefault="002A3363">
            <w:pPr>
              <w:spacing w:beforeAutospacing="1" w:afterAutospacing="1"/>
            </w:pPr>
            <w:r>
              <w:rPr>
                <w:color w:val="000000"/>
                <w:sz w:val="22"/>
              </w:rPr>
              <w:t>Administration</w:t>
            </w:r>
          </w:p>
        </w:tc>
        <w:tc>
          <w:tcPr>
            <w:tcW w:w="0" w:type="auto"/>
            <w:vAlign w:val="center"/>
          </w:tcPr>
          <w:p w14:paraId="794DC29A" w14:textId="77777777" w:rsidR="004E7119" w:rsidRDefault="002A3363">
            <w:pPr>
              <w:spacing w:beforeAutospacing="1" w:afterAutospacing="1"/>
            </w:pPr>
            <w:r>
              <w:rPr>
                <w:color w:val="000000"/>
                <w:sz w:val="22"/>
              </w:rPr>
              <w:t>CDBG: $ / HOME: $</w:t>
            </w:r>
          </w:p>
        </w:tc>
        <w:tc>
          <w:tcPr>
            <w:tcW w:w="0" w:type="auto"/>
            <w:vAlign w:val="center"/>
          </w:tcPr>
          <w:p w14:paraId="372F8335" w14:textId="77777777" w:rsidR="004E7119" w:rsidRDefault="002A3363">
            <w:pPr>
              <w:spacing w:beforeAutospacing="1" w:afterAutospacing="1"/>
            </w:pPr>
            <w:r>
              <w:rPr>
                <w:color w:val="000000"/>
                <w:sz w:val="22"/>
              </w:rPr>
              <w:t>Other</w:t>
            </w:r>
          </w:p>
        </w:tc>
        <w:tc>
          <w:tcPr>
            <w:tcW w:w="0" w:type="auto"/>
            <w:vAlign w:val="center"/>
          </w:tcPr>
          <w:p w14:paraId="34C96C6F" w14:textId="77777777" w:rsidR="004E7119" w:rsidRDefault="002A3363">
            <w:pPr>
              <w:spacing w:beforeAutospacing="1" w:afterAutospacing="1"/>
            </w:pPr>
            <w:r>
              <w:rPr>
                <w:color w:val="000000"/>
                <w:sz w:val="22"/>
              </w:rPr>
              <w:t>Other</w:t>
            </w:r>
          </w:p>
        </w:tc>
        <w:tc>
          <w:tcPr>
            <w:tcW w:w="0" w:type="auto"/>
            <w:vAlign w:val="center"/>
          </w:tcPr>
          <w:p w14:paraId="2E51B28C" w14:textId="77777777" w:rsidR="004E7119" w:rsidRDefault="002A3363">
            <w:pPr>
              <w:spacing w:beforeAutospacing="1" w:afterAutospacing="1"/>
            </w:pPr>
            <w:r>
              <w:rPr>
                <w:color w:val="000000"/>
                <w:sz w:val="22"/>
              </w:rPr>
              <w:t>1</w:t>
            </w:r>
          </w:p>
        </w:tc>
        <w:tc>
          <w:tcPr>
            <w:tcW w:w="0" w:type="auto"/>
            <w:vAlign w:val="center"/>
          </w:tcPr>
          <w:p w14:paraId="0F3B5EA2" w14:textId="77777777" w:rsidR="004E7119" w:rsidRDefault="002A3363">
            <w:pPr>
              <w:spacing w:beforeAutospacing="1" w:afterAutospacing="1"/>
            </w:pPr>
            <w:r>
              <w:rPr>
                <w:color w:val="000000"/>
                <w:sz w:val="22"/>
              </w:rPr>
              <w:t>1</w:t>
            </w:r>
          </w:p>
        </w:tc>
        <w:tc>
          <w:tcPr>
            <w:tcW w:w="0" w:type="auto"/>
            <w:vAlign w:val="center"/>
          </w:tcPr>
          <w:p w14:paraId="73AA220C" w14:textId="77777777" w:rsidR="004E7119" w:rsidRDefault="002A3363">
            <w:pPr>
              <w:spacing w:beforeAutospacing="1" w:afterAutospacing="1"/>
            </w:pPr>
            <w:r>
              <w:rPr>
                <w:color w:val="000000"/>
                <w:sz w:val="22"/>
              </w:rPr>
              <w:t xml:space="preserve">       100.00%</w:t>
            </w:r>
          </w:p>
        </w:tc>
        <w:tc>
          <w:tcPr>
            <w:tcW w:w="0" w:type="auto"/>
            <w:vAlign w:val="center"/>
          </w:tcPr>
          <w:p w14:paraId="60E92536" w14:textId="77777777" w:rsidR="004E7119" w:rsidRDefault="002A3363">
            <w:pPr>
              <w:spacing w:beforeAutospacing="1" w:afterAutospacing="1"/>
            </w:pPr>
            <w:r>
              <w:rPr>
                <w:color w:val="000000"/>
                <w:sz w:val="22"/>
              </w:rPr>
              <w:t>1</w:t>
            </w:r>
          </w:p>
        </w:tc>
        <w:tc>
          <w:tcPr>
            <w:tcW w:w="0" w:type="auto"/>
            <w:vAlign w:val="center"/>
          </w:tcPr>
          <w:p w14:paraId="6B457663" w14:textId="77777777" w:rsidR="004E7119" w:rsidRDefault="002A3363">
            <w:pPr>
              <w:spacing w:beforeAutospacing="1" w:afterAutospacing="1"/>
            </w:pPr>
            <w:r>
              <w:rPr>
                <w:color w:val="000000"/>
                <w:sz w:val="22"/>
              </w:rPr>
              <w:t>1</w:t>
            </w:r>
          </w:p>
        </w:tc>
        <w:tc>
          <w:tcPr>
            <w:tcW w:w="0" w:type="auto"/>
            <w:vAlign w:val="center"/>
          </w:tcPr>
          <w:p w14:paraId="62DB91C6" w14:textId="77777777" w:rsidR="004E7119" w:rsidRDefault="002A3363">
            <w:pPr>
              <w:spacing w:beforeAutospacing="1" w:afterAutospacing="1"/>
            </w:pPr>
            <w:r>
              <w:rPr>
                <w:color w:val="000000"/>
                <w:sz w:val="22"/>
              </w:rPr>
              <w:t xml:space="preserve">       100.00%</w:t>
            </w:r>
          </w:p>
        </w:tc>
      </w:tr>
      <w:tr w:rsidR="004E7119" w14:paraId="7543D0A6" w14:textId="77777777">
        <w:trPr>
          <w:cantSplit/>
        </w:trPr>
        <w:tc>
          <w:tcPr>
            <w:tcW w:w="0" w:type="auto"/>
            <w:vAlign w:val="center"/>
          </w:tcPr>
          <w:p w14:paraId="332DE5D3" w14:textId="77777777" w:rsidR="004E7119" w:rsidRDefault="002A3363">
            <w:pPr>
              <w:spacing w:beforeAutospacing="1" w:afterAutospacing="1"/>
            </w:pPr>
            <w:r>
              <w:rPr>
                <w:color w:val="000000"/>
                <w:sz w:val="22"/>
              </w:rPr>
              <w:t>Expand and preserve affordable owner housing</w:t>
            </w:r>
          </w:p>
        </w:tc>
        <w:tc>
          <w:tcPr>
            <w:tcW w:w="0" w:type="auto"/>
            <w:vAlign w:val="center"/>
          </w:tcPr>
          <w:p w14:paraId="02D68B60" w14:textId="77777777" w:rsidR="004E7119" w:rsidRDefault="002A3363">
            <w:pPr>
              <w:spacing w:beforeAutospacing="1" w:afterAutospacing="1"/>
            </w:pPr>
            <w:r>
              <w:rPr>
                <w:color w:val="000000"/>
                <w:sz w:val="22"/>
              </w:rPr>
              <w:t>Affordable Housing</w:t>
            </w:r>
          </w:p>
        </w:tc>
        <w:tc>
          <w:tcPr>
            <w:tcW w:w="0" w:type="auto"/>
            <w:vAlign w:val="center"/>
          </w:tcPr>
          <w:p w14:paraId="7BAD8C6E" w14:textId="77777777" w:rsidR="004E7119" w:rsidRDefault="002A3363">
            <w:pPr>
              <w:spacing w:beforeAutospacing="1" w:afterAutospacing="1"/>
            </w:pPr>
            <w:r>
              <w:rPr>
                <w:color w:val="000000"/>
                <w:sz w:val="22"/>
              </w:rPr>
              <w:t>HOME: $</w:t>
            </w:r>
          </w:p>
        </w:tc>
        <w:tc>
          <w:tcPr>
            <w:tcW w:w="0" w:type="auto"/>
            <w:vAlign w:val="center"/>
          </w:tcPr>
          <w:p w14:paraId="4BF15EC2" w14:textId="77777777" w:rsidR="004E7119" w:rsidRDefault="002A3363">
            <w:pPr>
              <w:spacing w:beforeAutospacing="1" w:afterAutospacing="1"/>
            </w:pPr>
            <w:r>
              <w:rPr>
                <w:color w:val="000000"/>
                <w:sz w:val="22"/>
              </w:rPr>
              <w:t>Homeowner Housing Added</w:t>
            </w:r>
          </w:p>
        </w:tc>
        <w:tc>
          <w:tcPr>
            <w:tcW w:w="0" w:type="auto"/>
            <w:vAlign w:val="center"/>
          </w:tcPr>
          <w:p w14:paraId="05CD208E" w14:textId="77777777" w:rsidR="004E7119" w:rsidRDefault="002A3363">
            <w:pPr>
              <w:spacing w:beforeAutospacing="1" w:afterAutospacing="1"/>
            </w:pPr>
            <w:r>
              <w:rPr>
                <w:color w:val="000000"/>
                <w:sz w:val="22"/>
              </w:rPr>
              <w:t>Household Housing Unit</w:t>
            </w:r>
          </w:p>
        </w:tc>
        <w:tc>
          <w:tcPr>
            <w:tcW w:w="0" w:type="auto"/>
            <w:vAlign w:val="center"/>
          </w:tcPr>
          <w:p w14:paraId="2966A687" w14:textId="77777777" w:rsidR="004E7119" w:rsidRDefault="002A3363">
            <w:pPr>
              <w:spacing w:beforeAutospacing="1" w:afterAutospacing="1"/>
            </w:pPr>
            <w:r>
              <w:rPr>
                <w:color w:val="000000"/>
                <w:sz w:val="22"/>
              </w:rPr>
              <w:t>10</w:t>
            </w:r>
          </w:p>
        </w:tc>
        <w:tc>
          <w:tcPr>
            <w:tcW w:w="0" w:type="auto"/>
            <w:vAlign w:val="center"/>
          </w:tcPr>
          <w:p w14:paraId="620F52B2" w14:textId="0941317E" w:rsidR="004E7119" w:rsidRPr="00522E82" w:rsidRDefault="00150466">
            <w:pPr>
              <w:spacing w:beforeAutospacing="1" w:afterAutospacing="1"/>
            </w:pPr>
            <w:r>
              <w:rPr>
                <w:color w:val="000000"/>
                <w:sz w:val="22"/>
              </w:rPr>
              <w:t>2</w:t>
            </w:r>
          </w:p>
        </w:tc>
        <w:tc>
          <w:tcPr>
            <w:tcW w:w="0" w:type="auto"/>
            <w:vAlign w:val="center"/>
          </w:tcPr>
          <w:p w14:paraId="00E465B6" w14:textId="251470F0" w:rsidR="004E7119" w:rsidRPr="00522E82" w:rsidRDefault="002A3363">
            <w:pPr>
              <w:spacing w:beforeAutospacing="1" w:afterAutospacing="1"/>
            </w:pPr>
            <w:r w:rsidRPr="00522E82">
              <w:rPr>
                <w:color w:val="000000"/>
                <w:sz w:val="22"/>
              </w:rPr>
              <w:t xml:space="preserve">         </w:t>
            </w:r>
            <w:r w:rsidR="00150466">
              <w:rPr>
                <w:color w:val="000000"/>
                <w:sz w:val="22"/>
              </w:rPr>
              <w:t>2</w:t>
            </w:r>
            <w:r w:rsidRPr="00522E82">
              <w:rPr>
                <w:color w:val="000000"/>
                <w:sz w:val="22"/>
              </w:rPr>
              <w:t>0.00%</w:t>
            </w:r>
          </w:p>
        </w:tc>
        <w:tc>
          <w:tcPr>
            <w:tcW w:w="0" w:type="auto"/>
            <w:vAlign w:val="center"/>
          </w:tcPr>
          <w:p w14:paraId="551EB1EF" w14:textId="7B0803B1" w:rsidR="004E7119" w:rsidRPr="00522E82" w:rsidRDefault="00150466">
            <w:pPr>
              <w:spacing w:beforeAutospacing="1" w:afterAutospacing="1"/>
            </w:pPr>
            <w:r>
              <w:rPr>
                <w:color w:val="000000"/>
                <w:sz w:val="22"/>
              </w:rPr>
              <w:t>1</w:t>
            </w:r>
          </w:p>
        </w:tc>
        <w:tc>
          <w:tcPr>
            <w:tcW w:w="0" w:type="auto"/>
            <w:vAlign w:val="center"/>
          </w:tcPr>
          <w:p w14:paraId="159D0E39" w14:textId="4CF8BF32" w:rsidR="004E7119" w:rsidRPr="00150466" w:rsidRDefault="00150466">
            <w:pPr>
              <w:spacing w:beforeAutospacing="1" w:afterAutospacing="1"/>
              <w:rPr>
                <w:sz w:val="22"/>
                <w:szCs w:val="22"/>
              </w:rPr>
            </w:pPr>
            <w:r w:rsidRPr="00150466">
              <w:rPr>
                <w:sz w:val="22"/>
                <w:szCs w:val="22"/>
              </w:rPr>
              <w:t>0</w:t>
            </w:r>
          </w:p>
        </w:tc>
        <w:tc>
          <w:tcPr>
            <w:tcW w:w="0" w:type="auto"/>
            <w:vAlign w:val="center"/>
          </w:tcPr>
          <w:p w14:paraId="45374AF7" w14:textId="0711B27B" w:rsidR="004E7119" w:rsidRDefault="002A3363">
            <w:pPr>
              <w:spacing w:beforeAutospacing="1" w:afterAutospacing="1"/>
            </w:pPr>
            <w:r>
              <w:rPr>
                <w:color w:val="000000"/>
                <w:sz w:val="22"/>
              </w:rPr>
              <w:t xml:space="preserve">         0.00%</w:t>
            </w:r>
          </w:p>
        </w:tc>
      </w:tr>
      <w:tr w:rsidR="004E7119" w14:paraId="3534D469" w14:textId="77777777">
        <w:trPr>
          <w:cantSplit/>
        </w:trPr>
        <w:tc>
          <w:tcPr>
            <w:tcW w:w="0" w:type="auto"/>
            <w:vAlign w:val="center"/>
          </w:tcPr>
          <w:p w14:paraId="45A87839" w14:textId="77777777" w:rsidR="004E7119" w:rsidRDefault="002A3363">
            <w:pPr>
              <w:spacing w:beforeAutospacing="1" w:afterAutospacing="1"/>
            </w:pPr>
            <w:r>
              <w:rPr>
                <w:color w:val="000000"/>
                <w:sz w:val="22"/>
              </w:rPr>
              <w:t>Expand and preserve affordable owner housing</w:t>
            </w:r>
          </w:p>
        </w:tc>
        <w:tc>
          <w:tcPr>
            <w:tcW w:w="0" w:type="auto"/>
            <w:vAlign w:val="center"/>
          </w:tcPr>
          <w:p w14:paraId="6B190FBA" w14:textId="77777777" w:rsidR="004E7119" w:rsidRDefault="002A3363">
            <w:pPr>
              <w:spacing w:beforeAutospacing="1" w:afterAutospacing="1"/>
            </w:pPr>
            <w:r>
              <w:rPr>
                <w:color w:val="000000"/>
                <w:sz w:val="22"/>
              </w:rPr>
              <w:t>Affordable Housing</w:t>
            </w:r>
          </w:p>
        </w:tc>
        <w:tc>
          <w:tcPr>
            <w:tcW w:w="0" w:type="auto"/>
            <w:vAlign w:val="center"/>
          </w:tcPr>
          <w:p w14:paraId="3B7D376D" w14:textId="77777777" w:rsidR="004E7119" w:rsidRDefault="002A3363">
            <w:pPr>
              <w:spacing w:beforeAutospacing="1" w:afterAutospacing="1"/>
            </w:pPr>
            <w:r>
              <w:rPr>
                <w:color w:val="000000"/>
                <w:sz w:val="22"/>
              </w:rPr>
              <w:t>HOME: $</w:t>
            </w:r>
          </w:p>
        </w:tc>
        <w:tc>
          <w:tcPr>
            <w:tcW w:w="0" w:type="auto"/>
            <w:vAlign w:val="center"/>
          </w:tcPr>
          <w:p w14:paraId="4DC416F4" w14:textId="77777777" w:rsidR="004E7119" w:rsidRDefault="002A3363">
            <w:pPr>
              <w:spacing w:beforeAutospacing="1" w:afterAutospacing="1"/>
            </w:pPr>
            <w:r>
              <w:rPr>
                <w:color w:val="000000"/>
                <w:sz w:val="22"/>
              </w:rPr>
              <w:t>Homeowner Housing Rehabilitated</w:t>
            </w:r>
          </w:p>
        </w:tc>
        <w:tc>
          <w:tcPr>
            <w:tcW w:w="0" w:type="auto"/>
            <w:vAlign w:val="center"/>
          </w:tcPr>
          <w:p w14:paraId="76B17DFB" w14:textId="77777777" w:rsidR="004E7119" w:rsidRDefault="002A3363">
            <w:pPr>
              <w:spacing w:beforeAutospacing="1" w:afterAutospacing="1"/>
            </w:pPr>
            <w:r>
              <w:rPr>
                <w:color w:val="000000"/>
                <w:sz w:val="22"/>
              </w:rPr>
              <w:t>Household Housing Unit</w:t>
            </w:r>
          </w:p>
        </w:tc>
        <w:tc>
          <w:tcPr>
            <w:tcW w:w="0" w:type="auto"/>
            <w:vAlign w:val="center"/>
          </w:tcPr>
          <w:p w14:paraId="123B033E" w14:textId="77777777" w:rsidR="004E7119" w:rsidRDefault="002A3363">
            <w:pPr>
              <w:spacing w:beforeAutospacing="1" w:afterAutospacing="1"/>
            </w:pPr>
            <w:r>
              <w:rPr>
                <w:color w:val="000000"/>
                <w:sz w:val="22"/>
              </w:rPr>
              <w:t>30</w:t>
            </w:r>
          </w:p>
        </w:tc>
        <w:tc>
          <w:tcPr>
            <w:tcW w:w="0" w:type="auto"/>
            <w:vAlign w:val="center"/>
          </w:tcPr>
          <w:p w14:paraId="7CF81B24" w14:textId="11B2A9F7" w:rsidR="004E7119" w:rsidRPr="00522E82" w:rsidRDefault="00150466">
            <w:pPr>
              <w:spacing w:beforeAutospacing="1" w:afterAutospacing="1"/>
            </w:pPr>
            <w:r>
              <w:t>0</w:t>
            </w:r>
          </w:p>
        </w:tc>
        <w:tc>
          <w:tcPr>
            <w:tcW w:w="0" w:type="auto"/>
            <w:vAlign w:val="center"/>
          </w:tcPr>
          <w:p w14:paraId="55362811" w14:textId="77777777" w:rsidR="004E7119" w:rsidRPr="00522E82" w:rsidRDefault="002A3363">
            <w:pPr>
              <w:spacing w:beforeAutospacing="1" w:afterAutospacing="1"/>
            </w:pPr>
            <w:r w:rsidRPr="00522E82">
              <w:rPr>
                <w:color w:val="000000"/>
                <w:sz w:val="22"/>
              </w:rPr>
              <w:t xml:space="preserve">        20.00%</w:t>
            </w:r>
          </w:p>
        </w:tc>
        <w:tc>
          <w:tcPr>
            <w:tcW w:w="0" w:type="auto"/>
            <w:vAlign w:val="center"/>
          </w:tcPr>
          <w:p w14:paraId="19ABF4E9" w14:textId="4014F208" w:rsidR="004E7119" w:rsidRPr="00522E82" w:rsidRDefault="00150466">
            <w:pPr>
              <w:spacing w:beforeAutospacing="1" w:afterAutospacing="1"/>
            </w:pPr>
            <w:r>
              <w:rPr>
                <w:color w:val="000000"/>
                <w:sz w:val="22"/>
              </w:rPr>
              <w:t>6</w:t>
            </w:r>
          </w:p>
        </w:tc>
        <w:tc>
          <w:tcPr>
            <w:tcW w:w="0" w:type="auto"/>
            <w:vAlign w:val="center"/>
          </w:tcPr>
          <w:p w14:paraId="74DF5539" w14:textId="02E8CCC6" w:rsidR="004E7119" w:rsidRPr="00522E82" w:rsidRDefault="00522E82">
            <w:pPr>
              <w:spacing w:beforeAutospacing="1" w:afterAutospacing="1"/>
            </w:pPr>
            <w:r w:rsidRPr="00522E82">
              <w:rPr>
                <w:color w:val="000000"/>
                <w:sz w:val="22"/>
              </w:rPr>
              <w:t>4</w:t>
            </w:r>
          </w:p>
        </w:tc>
        <w:tc>
          <w:tcPr>
            <w:tcW w:w="0" w:type="auto"/>
            <w:vAlign w:val="center"/>
          </w:tcPr>
          <w:p w14:paraId="36D56FF5" w14:textId="1B89A2AD" w:rsidR="004E7119" w:rsidRDefault="002A3363">
            <w:pPr>
              <w:spacing w:beforeAutospacing="1" w:afterAutospacing="1"/>
            </w:pPr>
            <w:r>
              <w:rPr>
                <w:color w:val="000000"/>
                <w:sz w:val="22"/>
              </w:rPr>
              <w:t xml:space="preserve">        </w:t>
            </w:r>
            <w:r w:rsidR="00150466">
              <w:rPr>
                <w:color w:val="000000"/>
                <w:sz w:val="22"/>
              </w:rPr>
              <w:t>66</w:t>
            </w:r>
            <w:r w:rsidR="003022E2">
              <w:rPr>
                <w:color w:val="000000"/>
                <w:sz w:val="22"/>
              </w:rPr>
              <w:t>.</w:t>
            </w:r>
            <w:r w:rsidR="00150466">
              <w:rPr>
                <w:color w:val="000000"/>
                <w:sz w:val="22"/>
              </w:rPr>
              <w:t>67</w:t>
            </w:r>
            <w:r>
              <w:rPr>
                <w:color w:val="000000"/>
                <w:sz w:val="22"/>
              </w:rPr>
              <w:t>%</w:t>
            </w:r>
          </w:p>
        </w:tc>
      </w:tr>
      <w:tr w:rsidR="004E7119" w14:paraId="23916A9B" w14:textId="77777777">
        <w:trPr>
          <w:cantSplit/>
        </w:trPr>
        <w:tc>
          <w:tcPr>
            <w:tcW w:w="0" w:type="auto"/>
            <w:vAlign w:val="center"/>
          </w:tcPr>
          <w:p w14:paraId="46C581C8" w14:textId="77777777" w:rsidR="004E7119" w:rsidRDefault="002A3363">
            <w:pPr>
              <w:spacing w:beforeAutospacing="1" w:afterAutospacing="1"/>
            </w:pPr>
            <w:r>
              <w:rPr>
                <w:color w:val="000000"/>
                <w:sz w:val="22"/>
              </w:rPr>
              <w:t>Expand and preserve affordable owner housing</w:t>
            </w:r>
          </w:p>
        </w:tc>
        <w:tc>
          <w:tcPr>
            <w:tcW w:w="0" w:type="auto"/>
            <w:vAlign w:val="center"/>
          </w:tcPr>
          <w:p w14:paraId="2210B3FE" w14:textId="77777777" w:rsidR="004E7119" w:rsidRDefault="002A3363">
            <w:pPr>
              <w:spacing w:beforeAutospacing="1" w:afterAutospacing="1"/>
            </w:pPr>
            <w:r>
              <w:rPr>
                <w:color w:val="000000"/>
                <w:sz w:val="22"/>
              </w:rPr>
              <w:t>Affordable Housing</w:t>
            </w:r>
          </w:p>
        </w:tc>
        <w:tc>
          <w:tcPr>
            <w:tcW w:w="0" w:type="auto"/>
            <w:vAlign w:val="center"/>
          </w:tcPr>
          <w:p w14:paraId="75D5E50C" w14:textId="77777777" w:rsidR="004E7119" w:rsidRDefault="002A3363">
            <w:pPr>
              <w:spacing w:beforeAutospacing="1" w:afterAutospacing="1"/>
            </w:pPr>
            <w:r>
              <w:rPr>
                <w:color w:val="000000"/>
                <w:sz w:val="22"/>
              </w:rPr>
              <w:t>HOME: $</w:t>
            </w:r>
          </w:p>
        </w:tc>
        <w:tc>
          <w:tcPr>
            <w:tcW w:w="0" w:type="auto"/>
            <w:vAlign w:val="center"/>
          </w:tcPr>
          <w:p w14:paraId="29C0EC08" w14:textId="77777777" w:rsidR="004E7119" w:rsidRDefault="002A3363">
            <w:pPr>
              <w:spacing w:beforeAutospacing="1" w:afterAutospacing="1"/>
            </w:pPr>
            <w:r>
              <w:rPr>
                <w:color w:val="000000"/>
                <w:sz w:val="22"/>
              </w:rPr>
              <w:t>Direct Financial Assistance to Homebuyers</w:t>
            </w:r>
          </w:p>
        </w:tc>
        <w:tc>
          <w:tcPr>
            <w:tcW w:w="0" w:type="auto"/>
            <w:vAlign w:val="center"/>
          </w:tcPr>
          <w:p w14:paraId="692BAD52" w14:textId="77777777" w:rsidR="004E7119" w:rsidRDefault="002A3363">
            <w:pPr>
              <w:spacing w:beforeAutospacing="1" w:afterAutospacing="1"/>
            </w:pPr>
            <w:r>
              <w:rPr>
                <w:color w:val="000000"/>
                <w:sz w:val="22"/>
              </w:rPr>
              <w:t>Households Assisted</w:t>
            </w:r>
          </w:p>
        </w:tc>
        <w:tc>
          <w:tcPr>
            <w:tcW w:w="0" w:type="auto"/>
            <w:vAlign w:val="center"/>
          </w:tcPr>
          <w:p w14:paraId="4BA50864" w14:textId="5090D109" w:rsidR="004E7119" w:rsidRDefault="00150466">
            <w:pPr>
              <w:spacing w:beforeAutospacing="1" w:afterAutospacing="1"/>
            </w:pPr>
            <w:r>
              <w:rPr>
                <w:color w:val="000000"/>
                <w:sz w:val="22"/>
              </w:rPr>
              <w:t>1</w:t>
            </w:r>
            <w:r w:rsidR="002A3363">
              <w:rPr>
                <w:color w:val="000000"/>
                <w:sz w:val="22"/>
              </w:rPr>
              <w:t>5</w:t>
            </w:r>
          </w:p>
        </w:tc>
        <w:tc>
          <w:tcPr>
            <w:tcW w:w="0" w:type="auto"/>
            <w:vAlign w:val="center"/>
          </w:tcPr>
          <w:p w14:paraId="153FC9DC" w14:textId="2653BDC4" w:rsidR="004E7119" w:rsidRPr="00522E82" w:rsidRDefault="00150466">
            <w:pPr>
              <w:spacing w:beforeAutospacing="1" w:afterAutospacing="1"/>
            </w:pPr>
            <w:r>
              <w:rPr>
                <w:color w:val="000000"/>
                <w:sz w:val="22"/>
              </w:rPr>
              <w:t>0</w:t>
            </w:r>
          </w:p>
        </w:tc>
        <w:tc>
          <w:tcPr>
            <w:tcW w:w="0" w:type="auto"/>
            <w:vAlign w:val="center"/>
          </w:tcPr>
          <w:p w14:paraId="4B2FB51E" w14:textId="2ACA75AE" w:rsidR="004E7119" w:rsidRPr="00522E82" w:rsidRDefault="002A3363">
            <w:pPr>
              <w:spacing w:beforeAutospacing="1" w:afterAutospacing="1"/>
            </w:pPr>
            <w:r w:rsidRPr="00522E82">
              <w:rPr>
                <w:color w:val="000000"/>
                <w:sz w:val="22"/>
              </w:rPr>
              <w:t xml:space="preserve">  </w:t>
            </w:r>
            <w:r w:rsidR="00150466">
              <w:rPr>
                <w:color w:val="000000"/>
                <w:sz w:val="22"/>
              </w:rPr>
              <w:t>0</w:t>
            </w:r>
            <w:r w:rsidRPr="00522E82">
              <w:rPr>
                <w:color w:val="000000"/>
                <w:sz w:val="22"/>
              </w:rPr>
              <w:t>%</w:t>
            </w:r>
          </w:p>
        </w:tc>
        <w:tc>
          <w:tcPr>
            <w:tcW w:w="0" w:type="auto"/>
            <w:vAlign w:val="center"/>
          </w:tcPr>
          <w:p w14:paraId="00442295" w14:textId="341153FA" w:rsidR="004E7119" w:rsidRPr="00522E82" w:rsidRDefault="002A3363">
            <w:pPr>
              <w:spacing w:beforeAutospacing="1" w:afterAutospacing="1"/>
            </w:pPr>
            <w:r w:rsidRPr="00522E82">
              <w:rPr>
                <w:color w:val="000000"/>
                <w:sz w:val="22"/>
              </w:rPr>
              <w:t>2</w:t>
            </w:r>
          </w:p>
        </w:tc>
        <w:tc>
          <w:tcPr>
            <w:tcW w:w="0" w:type="auto"/>
            <w:vAlign w:val="center"/>
          </w:tcPr>
          <w:p w14:paraId="50EF6A12" w14:textId="6F404BE0" w:rsidR="004E7119" w:rsidRPr="00522E82" w:rsidRDefault="00522E82">
            <w:pPr>
              <w:spacing w:beforeAutospacing="1" w:afterAutospacing="1"/>
            </w:pPr>
            <w:r w:rsidRPr="00522E82">
              <w:rPr>
                <w:color w:val="000000"/>
                <w:sz w:val="22"/>
              </w:rPr>
              <w:t>4</w:t>
            </w:r>
          </w:p>
        </w:tc>
        <w:tc>
          <w:tcPr>
            <w:tcW w:w="0" w:type="auto"/>
            <w:vAlign w:val="center"/>
          </w:tcPr>
          <w:p w14:paraId="0BC51A5F" w14:textId="23519DE7" w:rsidR="004E7119" w:rsidRDefault="002A3363">
            <w:pPr>
              <w:spacing w:beforeAutospacing="1" w:afterAutospacing="1"/>
            </w:pPr>
            <w:r>
              <w:rPr>
                <w:color w:val="000000"/>
                <w:sz w:val="22"/>
              </w:rPr>
              <w:t xml:space="preserve">  </w:t>
            </w:r>
            <w:r w:rsidR="00150466">
              <w:rPr>
                <w:color w:val="000000"/>
                <w:sz w:val="22"/>
              </w:rPr>
              <w:t>200</w:t>
            </w:r>
            <w:r>
              <w:rPr>
                <w:color w:val="000000"/>
                <w:sz w:val="22"/>
              </w:rPr>
              <w:t>%</w:t>
            </w:r>
          </w:p>
        </w:tc>
      </w:tr>
      <w:tr w:rsidR="004E7119" w14:paraId="12F1D52F" w14:textId="77777777">
        <w:trPr>
          <w:cantSplit/>
        </w:trPr>
        <w:tc>
          <w:tcPr>
            <w:tcW w:w="0" w:type="auto"/>
            <w:vAlign w:val="center"/>
          </w:tcPr>
          <w:p w14:paraId="1CB389B6" w14:textId="77777777" w:rsidR="004E7119" w:rsidRDefault="002A3363">
            <w:pPr>
              <w:spacing w:beforeAutospacing="1" w:afterAutospacing="1"/>
            </w:pPr>
            <w:r>
              <w:rPr>
                <w:color w:val="000000"/>
                <w:sz w:val="22"/>
              </w:rPr>
              <w:t>Expand and preserve affordable rental housing</w:t>
            </w:r>
          </w:p>
        </w:tc>
        <w:tc>
          <w:tcPr>
            <w:tcW w:w="0" w:type="auto"/>
            <w:vAlign w:val="center"/>
          </w:tcPr>
          <w:p w14:paraId="2EB6D6F2" w14:textId="77777777" w:rsidR="004E7119" w:rsidRDefault="002A3363">
            <w:pPr>
              <w:spacing w:beforeAutospacing="1" w:afterAutospacing="1"/>
            </w:pPr>
            <w:r>
              <w:rPr>
                <w:color w:val="000000"/>
                <w:sz w:val="22"/>
              </w:rPr>
              <w:t>Affordable Housing</w:t>
            </w:r>
          </w:p>
        </w:tc>
        <w:tc>
          <w:tcPr>
            <w:tcW w:w="0" w:type="auto"/>
            <w:vAlign w:val="center"/>
          </w:tcPr>
          <w:p w14:paraId="3760D4DC" w14:textId="77777777" w:rsidR="004E7119" w:rsidRDefault="002A3363">
            <w:pPr>
              <w:spacing w:beforeAutospacing="1" w:afterAutospacing="1"/>
            </w:pPr>
            <w:r>
              <w:rPr>
                <w:color w:val="000000"/>
                <w:sz w:val="22"/>
              </w:rPr>
              <w:t>HOME: $</w:t>
            </w:r>
          </w:p>
        </w:tc>
        <w:tc>
          <w:tcPr>
            <w:tcW w:w="0" w:type="auto"/>
            <w:vAlign w:val="center"/>
          </w:tcPr>
          <w:p w14:paraId="18D2D8B0" w14:textId="77777777" w:rsidR="004E7119" w:rsidRDefault="002A3363">
            <w:pPr>
              <w:spacing w:beforeAutospacing="1" w:afterAutospacing="1"/>
            </w:pPr>
            <w:r>
              <w:rPr>
                <w:color w:val="000000"/>
                <w:sz w:val="22"/>
              </w:rPr>
              <w:t>Rental units rehabilitated</w:t>
            </w:r>
          </w:p>
        </w:tc>
        <w:tc>
          <w:tcPr>
            <w:tcW w:w="0" w:type="auto"/>
            <w:vAlign w:val="center"/>
          </w:tcPr>
          <w:p w14:paraId="6BCF8677" w14:textId="77777777" w:rsidR="004E7119" w:rsidRDefault="002A3363">
            <w:pPr>
              <w:spacing w:beforeAutospacing="1" w:afterAutospacing="1"/>
            </w:pPr>
            <w:r>
              <w:rPr>
                <w:color w:val="000000"/>
                <w:sz w:val="22"/>
              </w:rPr>
              <w:t>Household Housing Unit</w:t>
            </w:r>
          </w:p>
        </w:tc>
        <w:tc>
          <w:tcPr>
            <w:tcW w:w="0" w:type="auto"/>
            <w:vAlign w:val="center"/>
          </w:tcPr>
          <w:p w14:paraId="13667BB8" w14:textId="77777777" w:rsidR="004E7119" w:rsidRDefault="002A3363">
            <w:pPr>
              <w:spacing w:beforeAutospacing="1" w:afterAutospacing="1"/>
            </w:pPr>
            <w:r>
              <w:rPr>
                <w:color w:val="000000"/>
                <w:sz w:val="22"/>
              </w:rPr>
              <w:t>25</w:t>
            </w:r>
          </w:p>
        </w:tc>
        <w:tc>
          <w:tcPr>
            <w:tcW w:w="0" w:type="auto"/>
            <w:vAlign w:val="center"/>
          </w:tcPr>
          <w:p w14:paraId="5DA4F851" w14:textId="237D21C4" w:rsidR="004E7119" w:rsidRPr="00522E82" w:rsidRDefault="00150466">
            <w:pPr>
              <w:spacing w:beforeAutospacing="1" w:afterAutospacing="1"/>
            </w:pPr>
            <w:r>
              <w:rPr>
                <w:color w:val="000000"/>
                <w:sz w:val="22"/>
              </w:rPr>
              <w:t>0</w:t>
            </w:r>
          </w:p>
        </w:tc>
        <w:tc>
          <w:tcPr>
            <w:tcW w:w="0" w:type="auto"/>
            <w:vAlign w:val="center"/>
          </w:tcPr>
          <w:p w14:paraId="1CD7174A" w14:textId="10CFB7BD" w:rsidR="004E7119" w:rsidRPr="00522E82" w:rsidRDefault="002A3363">
            <w:pPr>
              <w:spacing w:beforeAutospacing="1" w:afterAutospacing="1"/>
            </w:pPr>
            <w:r w:rsidRPr="00522E82">
              <w:rPr>
                <w:color w:val="000000"/>
                <w:sz w:val="22"/>
              </w:rPr>
              <w:t xml:space="preserve">   </w:t>
            </w:r>
            <w:r w:rsidR="00150466">
              <w:rPr>
                <w:color w:val="000000"/>
                <w:sz w:val="22"/>
              </w:rPr>
              <w:t>0</w:t>
            </w:r>
            <w:r w:rsidRPr="00522E82">
              <w:rPr>
                <w:color w:val="000000"/>
                <w:sz w:val="22"/>
              </w:rPr>
              <w:t>%</w:t>
            </w:r>
          </w:p>
        </w:tc>
        <w:tc>
          <w:tcPr>
            <w:tcW w:w="0" w:type="auto"/>
            <w:vAlign w:val="center"/>
          </w:tcPr>
          <w:p w14:paraId="02A53FE3" w14:textId="55245046" w:rsidR="004E7119" w:rsidRPr="00522E82" w:rsidRDefault="0070524C">
            <w:pPr>
              <w:spacing w:beforeAutospacing="1" w:afterAutospacing="1"/>
            </w:pPr>
            <w:r>
              <w:rPr>
                <w:color w:val="000000"/>
                <w:sz w:val="22"/>
              </w:rPr>
              <w:t>5</w:t>
            </w:r>
          </w:p>
        </w:tc>
        <w:tc>
          <w:tcPr>
            <w:tcW w:w="0" w:type="auto"/>
            <w:vAlign w:val="center"/>
          </w:tcPr>
          <w:p w14:paraId="18909E51" w14:textId="283A28DD" w:rsidR="004E7119" w:rsidRPr="00522E82" w:rsidRDefault="00522E82">
            <w:pPr>
              <w:spacing w:beforeAutospacing="1" w:afterAutospacing="1"/>
            </w:pPr>
            <w:r w:rsidRPr="00522E82">
              <w:rPr>
                <w:color w:val="000000"/>
                <w:sz w:val="22"/>
              </w:rPr>
              <w:t>0</w:t>
            </w:r>
          </w:p>
        </w:tc>
        <w:tc>
          <w:tcPr>
            <w:tcW w:w="0" w:type="auto"/>
            <w:vAlign w:val="center"/>
          </w:tcPr>
          <w:p w14:paraId="7F163B67" w14:textId="783B8057" w:rsidR="004E7119" w:rsidRDefault="002A3363">
            <w:pPr>
              <w:spacing w:beforeAutospacing="1" w:afterAutospacing="1"/>
            </w:pPr>
            <w:r>
              <w:rPr>
                <w:color w:val="000000"/>
                <w:sz w:val="22"/>
              </w:rPr>
              <w:t xml:space="preserve">        0.00%</w:t>
            </w:r>
          </w:p>
        </w:tc>
      </w:tr>
      <w:tr w:rsidR="004E7119" w14:paraId="5CDDA7DD" w14:textId="77777777">
        <w:trPr>
          <w:cantSplit/>
        </w:trPr>
        <w:tc>
          <w:tcPr>
            <w:tcW w:w="0" w:type="auto"/>
            <w:vAlign w:val="center"/>
          </w:tcPr>
          <w:p w14:paraId="628C1BCD" w14:textId="77777777" w:rsidR="004E7119" w:rsidRDefault="002A3363">
            <w:pPr>
              <w:spacing w:beforeAutospacing="1" w:afterAutospacing="1"/>
            </w:pPr>
            <w:r>
              <w:rPr>
                <w:color w:val="000000"/>
                <w:sz w:val="22"/>
              </w:rPr>
              <w:lastRenderedPageBreak/>
              <w:t>Expand and preserve affordable rental housing</w:t>
            </w:r>
          </w:p>
        </w:tc>
        <w:tc>
          <w:tcPr>
            <w:tcW w:w="0" w:type="auto"/>
            <w:vAlign w:val="center"/>
          </w:tcPr>
          <w:p w14:paraId="34137C5D" w14:textId="77777777" w:rsidR="004E7119" w:rsidRDefault="002A3363">
            <w:pPr>
              <w:spacing w:beforeAutospacing="1" w:afterAutospacing="1"/>
            </w:pPr>
            <w:r>
              <w:rPr>
                <w:color w:val="000000"/>
                <w:sz w:val="22"/>
              </w:rPr>
              <w:t>Affordable Housing</w:t>
            </w:r>
          </w:p>
        </w:tc>
        <w:tc>
          <w:tcPr>
            <w:tcW w:w="0" w:type="auto"/>
            <w:vAlign w:val="center"/>
          </w:tcPr>
          <w:p w14:paraId="6A96BD0C" w14:textId="77777777" w:rsidR="004E7119" w:rsidRDefault="002A3363">
            <w:pPr>
              <w:spacing w:beforeAutospacing="1" w:afterAutospacing="1"/>
            </w:pPr>
            <w:r>
              <w:rPr>
                <w:color w:val="000000"/>
                <w:sz w:val="22"/>
              </w:rPr>
              <w:t>HOME: $</w:t>
            </w:r>
          </w:p>
        </w:tc>
        <w:tc>
          <w:tcPr>
            <w:tcW w:w="0" w:type="auto"/>
            <w:vAlign w:val="center"/>
          </w:tcPr>
          <w:p w14:paraId="33DF5737" w14:textId="77777777" w:rsidR="004E7119" w:rsidRDefault="002A3363">
            <w:pPr>
              <w:spacing w:beforeAutospacing="1" w:afterAutospacing="1"/>
            </w:pPr>
            <w:r>
              <w:rPr>
                <w:color w:val="000000"/>
                <w:sz w:val="22"/>
              </w:rPr>
              <w:t>Tenant-based rental assistance / Rapid Rehousing</w:t>
            </w:r>
          </w:p>
        </w:tc>
        <w:tc>
          <w:tcPr>
            <w:tcW w:w="0" w:type="auto"/>
            <w:vAlign w:val="center"/>
          </w:tcPr>
          <w:p w14:paraId="1A21BB5D" w14:textId="77777777" w:rsidR="004E7119" w:rsidRDefault="002A3363">
            <w:pPr>
              <w:spacing w:beforeAutospacing="1" w:afterAutospacing="1"/>
            </w:pPr>
            <w:r>
              <w:rPr>
                <w:color w:val="000000"/>
                <w:sz w:val="22"/>
              </w:rPr>
              <w:t>Households Assisted</w:t>
            </w:r>
          </w:p>
        </w:tc>
        <w:tc>
          <w:tcPr>
            <w:tcW w:w="0" w:type="auto"/>
            <w:vAlign w:val="center"/>
          </w:tcPr>
          <w:p w14:paraId="1B1DA538" w14:textId="77777777" w:rsidR="004E7119" w:rsidRDefault="002A3363">
            <w:pPr>
              <w:spacing w:beforeAutospacing="1" w:afterAutospacing="1"/>
            </w:pPr>
            <w:r>
              <w:rPr>
                <w:color w:val="000000"/>
                <w:sz w:val="22"/>
              </w:rPr>
              <w:t>50</w:t>
            </w:r>
          </w:p>
        </w:tc>
        <w:tc>
          <w:tcPr>
            <w:tcW w:w="0" w:type="auto"/>
            <w:vAlign w:val="center"/>
          </w:tcPr>
          <w:p w14:paraId="5B58254A" w14:textId="75BBB24A" w:rsidR="004E7119" w:rsidRPr="00554657" w:rsidRDefault="00383430">
            <w:pPr>
              <w:spacing w:beforeAutospacing="1" w:afterAutospacing="1"/>
              <w:rPr>
                <w:highlight w:val="cyan"/>
              </w:rPr>
            </w:pPr>
            <w:r>
              <w:rPr>
                <w:color w:val="000000"/>
                <w:sz w:val="22"/>
              </w:rPr>
              <w:t>0</w:t>
            </w:r>
          </w:p>
        </w:tc>
        <w:tc>
          <w:tcPr>
            <w:tcW w:w="0" w:type="auto"/>
            <w:vAlign w:val="center"/>
          </w:tcPr>
          <w:p w14:paraId="5F9B80D1" w14:textId="77777777" w:rsidR="004E7119" w:rsidRDefault="002A3363">
            <w:pPr>
              <w:spacing w:beforeAutospacing="1" w:afterAutospacing="1"/>
            </w:pPr>
            <w:r>
              <w:rPr>
                <w:color w:val="000000"/>
                <w:sz w:val="22"/>
              </w:rPr>
              <w:t xml:space="preserve">         0.00%</w:t>
            </w:r>
          </w:p>
        </w:tc>
        <w:tc>
          <w:tcPr>
            <w:tcW w:w="0" w:type="auto"/>
            <w:vAlign w:val="center"/>
          </w:tcPr>
          <w:p w14:paraId="6BA9B235" w14:textId="77777777" w:rsidR="004E7119" w:rsidRDefault="002A3363">
            <w:pPr>
              <w:spacing w:beforeAutospacing="1" w:afterAutospacing="1"/>
            </w:pPr>
            <w:r>
              <w:rPr>
                <w:color w:val="000000"/>
                <w:sz w:val="22"/>
              </w:rPr>
              <w:t>25</w:t>
            </w:r>
          </w:p>
        </w:tc>
        <w:tc>
          <w:tcPr>
            <w:tcW w:w="0" w:type="auto"/>
            <w:vAlign w:val="center"/>
          </w:tcPr>
          <w:p w14:paraId="682684C0" w14:textId="2650F0A4" w:rsidR="004E7119" w:rsidRPr="00554657" w:rsidRDefault="00522E82">
            <w:pPr>
              <w:spacing w:beforeAutospacing="1" w:afterAutospacing="1"/>
              <w:rPr>
                <w:highlight w:val="cyan"/>
              </w:rPr>
            </w:pPr>
            <w:r w:rsidRPr="005D1004">
              <w:rPr>
                <w:color w:val="000000"/>
                <w:sz w:val="22"/>
              </w:rPr>
              <w:t>4</w:t>
            </w:r>
          </w:p>
        </w:tc>
        <w:tc>
          <w:tcPr>
            <w:tcW w:w="0" w:type="auto"/>
            <w:vAlign w:val="center"/>
          </w:tcPr>
          <w:p w14:paraId="28BFB05D" w14:textId="51CD7320" w:rsidR="004E7119" w:rsidRDefault="002A3363">
            <w:pPr>
              <w:spacing w:beforeAutospacing="1" w:afterAutospacing="1"/>
            </w:pPr>
            <w:r>
              <w:rPr>
                <w:color w:val="000000"/>
                <w:sz w:val="22"/>
              </w:rPr>
              <w:t xml:space="preserve">         </w:t>
            </w:r>
            <w:r w:rsidR="00B85BEA">
              <w:rPr>
                <w:color w:val="000000"/>
                <w:sz w:val="22"/>
              </w:rPr>
              <w:t>6</w:t>
            </w:r>
            <w:r>
              <w:rPr>
                <w:color w:val="000000"/>
                <w:sz w:val="22"/>
              </w:rPr>
              <w:t>.</w:t>
            </w:r>
            <w:r w:rsidR="00B85BEA">
              <w:rPr>
                <w:color w:val="000000"/>
                <w:sz w:val="22"/>
              </w:rPr>
              <w:t>25</w:t>
            </w:r>
            <w:r>
              <w:rPr>
                <w:color w:val="000000"/>
                <w:sz w:val="22"/>
              </w:rPr>
              <w:t>%</w:t>
            </w:r>
          </w:p>
        </w:tc>
      </w:tr>
      <w:tr w:rsidR="004E7119" w14:paraId="2CB8989D" w14:textId="77777777">
        <w:trPr>
          <w:cantSplit/>
        </w:trPr>
        <w:tc>
          <w:tcPr>
            <w:tcW w:w="0" w:type="auto"/>
            <w:vAlign w:val="center"/>
          </w:tcPr>
          <w:p w14:paraId="3E7DBF73" w14:textId="77777777" w:rsidR="004E7119" w:rsidRDefault="002A3363">
            <w:pPr>
              <w:spacing w:beforeAutospacing="1" w:afterAutospacing="1"/>
            </w:pPr>
            <w:r>
              <w:rPr>
                <w:color w:val="000000"/>
                <w:sz w:val="22"/>
              </w:rPr>
              <w:t>Expand Fair Housing</w:t>
            </w:r>
          </w:p>
        </w:tc>
        <w:tc>
          <w:tcPr>
            <w:tcW w:w="0" w:type="auto"/>
            <w:vAlign w:val="center"/>
          </w:tcPr>
          <w:p w14:paraId="79266369" w14:textId="77777777" w:rsidR="004E7119" w:rsidRDefault="002A3363">
            <w:pPr>
              <w:spacing w:beforeAutospacing="1" w:afterAutospacing="1"/>
            </w:pPr>
            <w:r>
              <w:rPr>
                <w:color w:val="000000"/>
                <w:sz w:val="22"/>
              </w:rPr>
              <w:t>Affordable Housing</w:t>
            </w:r>
            <w:r>
              <w:rPr>
                <w:color w:val="000000"/>
                <w:sz w:val="22"/>
              </w:rPr>
              <w:br/>
              <w:t>Non-Homeless Special Needs</w:t>
            </w:r>
          </w:p>
        </w:tc>
        <w:tc>
          <w:tcPr>
            <w:tcW w:w="0" w:type="auto"/>
            <w:vAlign w:val="center"/>
          </w:tcPr>
          <w:p w14:paraId="50C09BAB" w14:textId="77777777" w:rsidR="004E7119" w:rsidRDefault="002A3363">
            <w:pPr>
              <w:spacing w:beforeAutospacing="1" w:afterAutospacing="1"/>
            </w:pPr>
            <w:r>
              <w:rPr>
                <w:color w:val="000000"/>
                <w:sz w:val="22"/>
              </w:rPr>
              <w:t>HOME: $</w:t>
            </w:r>
          </w:p>
        </w:tc>
        <w:tc>
          <w:tcPr>
            <w:tcW w:w="0" w:type="auto"/>
            <w:vAlign w:val="center"/>
          </w:tcPr>
          <w:p w14:paraId="0820D7F3" w14:textId="77777777" w:rsidR="004E7119" w:rsidRDefault="002A3363">
            <w:pPr>
              <w:spacing w:beforeAutospacing="1" w:afterAutospacing="1"/>
            </w:pPr>
            <w:r>
              <w:rPr>
                <w:color w:val="000000"/>
                <w:sz w:val="22"/>
              </w:rPr>
              <w:t>Other</w:t>
            </w:r>
          </w:p>
        </w:tc>
        <w:tc>
          <w:tcPr>
            <w:tcW w:w="0" w:type="auto"/>
            <w:vAlign w:val="center"/>
          </w:tcPr>
          <w:p w14:paraId="6F093D2C" w14:textId="77777777" w:rsidR="004E7119" w:rsidRDefault="002A3363">
            <w:pPr>
              <w:spacing w:beforeAutospacing="1" w:afterAutospacing="1"/>
            </w:pPr>
            <w:r>
              <w:rPr>
                <w:color w:val="000000"/>
                <w:sz w:val="22"/>
              </w:rPr>
              <w:t>Other</w:t>
            </w:r>
          </w:p>
        </w:tc>
        <w:tc>
          <w:tcPr>
            <w:tcW w:w="0" w:type="auto"/>
            <w:vAlign w:val="center"/>
          </w:tcPr>
          <w:p w14:paraId="507CAE27" w14:textId="77777777" w:rsidR="004E7119" w:rsidRDefault="002A3363">
            <w:pPr>
              <w:spacing w:beforeAutospacing="1" w:afterAutospacing="1"/>
            </w:pPr>
            <w:r>
              <w:rPr>
                <w:color w:val="000000"/>
                <w:sz w:val="22"/>
              </w:rPr>
              <w:t>1</w:t>
            </w:r>
          </w:p>
        </w:tc>
        <w:tc>
          <w:tcPr>
            <w:tcW w:w="0" w:type="auto"/>
            <w:vAlign w:val="center"/>
          </w:tcPr>
          <w:p w14:paraId="5A320108" w14:textId="77777777" w:rsidR="004E7119" w:rsidRPr="00554657" w:rsidRDefault="002A3363">
            <w:pPr>
              <w:spacing w:beforeAutospacing="1" w:afterAutospacing="1"/>
              <w:rPr>
                <w:highlight w:val="cyan"/>
              </w:rPr>
            </w:pPr>
            <w:r w:rsidRPr="00383430">
              <w:rPr>
                <w:color w:val="000000"/>
                <w:sz w:val="22"/>
              </w:rPr>
              <w:t>1</w:t>
            </w:r>
          </w:p>
        </w:tc>
        <w:tc>
          <w:tcPr>
            <w:tcW w:w="0" w:type="auto"/>
            <w:vAlign w:val="center"/>
          </w:tcPr>
          <w:p w14:paraId="4B5E7B34" w14:textId="77777777" w:rsidR="004E7119" w:rsidRDefault="002A3363">
            <w:pPr>
              <w:spacing w:beforeAutospacing="1" w:afterAutospacing="1"/>
            </w:pPr>
            <w:r>
              <w:rPr>
                <w:color w:val="000000"/>
                <w:sz w:val="22"/>
              </w:rPr>
              <w:t xml:space="preserve">       100.00%</w:t>
            </w:r>
          </w:p>
        </w:tc>
        <w:tc>
          <w:tcPr>
            <w:tcW w:w="0" w:type="auto"/>
            <w:vAlign w:val="center"/>
          </w:tcPr>
          <w:p w14:paraId="02A957EE" w14:textId="77777777" w:rsidR="004E7119" w:rsidRDefault="002A3363">
            <w:pPr>
              <w:spacing w:beforeAutospacing="1" w:afterAutospacing="1"/>
            </w:pPr>
            <w:r>
              <w:rPr>
                <w:color w:val="000000"/>
                <w:sz w:val="22"/>
              </w:rPr>
              <w:t>1</w:t>
            </w:r>
          </w:p>
        </w:tc>
        <w:tc>
          <w:tcPr>
            <w:tcW w:w="0" w:type="auto"/>
            <w:vAlign w:val="center"/>
          </w:tcPr>
          <w:p w14:paraId="359EF75D" w14:textId="77777777" w:rsidR="004E7119" w:rsidRPr="00554657" w:rsidRDefault="002A3363">
            <w:pPr>
              <w:spacing w:beforeAutospacing="1" w:afterAutospacing="1"/>
              <w:rPr>
                <w:highlight w:val="cyan"/>
              </w:rPr>
            </w:pPr>
            <w:r w:rsidRPr="00383430">
              <w:rPr>
                <w:color w:val="000000"/>
                <w:sz w:val="22"/>
              </w:rPr>
              <w:t>1</w:t>
            </w:r>
          </w:p>
        </w:tc>
        <w:tc>
          <w:tcPr>
            <w:tcW w:w="0" w:type="auto"/>
            <w:vAlign w:val="center"/>
          </w:tcPr>
          <w:p w14:paraId="2E848394" w14:textId="77777777" w:rsidR="004E7119" w:rsidRDefault="002A3363">
            <w:pPr>
              <w:spacing w:beforeAutospacing="1" w:afterAutospacing="1"/>
            </w:pPr>
            <w:r>
              <w:rPr>
                <w:color w:val="000000"/>
                <w:sz w:val="22"/>
              </w:rPr>
              <w:t xml:space="preserve">       100.00%</w:t>
            </w:r>
          </w:p>
        </w:tc>
      </w:tr>
      <w:tr w:rsidR="004E7119" w14:paraId="484819E7" w14:textId="77777777">
        <w:trPr>
          <w:cantSplit/>
        </w:trPr>
        <w:tc>
          <w:tcPr>
            <w:tcW w:w="0" w:type="auto"/>
            <w:vAlign w:val="center"/>
          </w:tcPr>
          <w:p w14:paraId="40C37C54" w14:textId="77777777" w:rsidR="004E7119" w:rsidRDefault="002A3363">
            <w:pPr>
              <w:spacing w:beforeAutospacing="1" w:afterAutospacing="1"/>
            </w:pPr>
            <w:r>
              <w:rPr>
                <w:color w:val="000000"/>
                <w:sz w:val="22"/>
              </w:rPr>
              <w:t>Improve Low/Moderate Income Neighborhoods</w:t>
            </w:r>
          </w:p>
        </w:tc>
        <w:tc>
          <w:tcPr>
            <w:tcW w:w="0" w:type="auto"/>
            <w:vAlign w:val="center"/>
          </w:tcPr>
          <w:p w14:paraId="26856C52" w14:textId="77777777" w:rsidR="004E7119" w:rsidRDefault="002A3363">
            <w:pPr>
              <w:spacing w:beforeAutospacing="1" w:afterAutospacing="1"/>
            </w:pPr>
            <w:r>
              <w:rPr>
                <w:color w:val="000000"/>
                <w:sz w:val="22"/>
              </w:rPr>
              <w:t>Non-Homeless Special Needs</w:t>
            </w:r>
            <w:r>
              <w:rPr>
                <w:color w:val="000000"/>
                <w:sz w:val="22"/>
              </w:rPr>
              <w:br/>
              <w:t>Non-Housing Community Development</w:t>
            </w:r>
          </w:p>
        </w:tc>
        <w:tc>
          <w:tcPr>
            <w:tcW w:w="0" w:type="auto"/>
            <w:vAlign w:val="center"/>
          </w:tcPr>
          <w:p w14:paraId="67995C67" w14:textId="77777777" w:rsidR="004E7119" w:rsidRDefault="002A3363">
            <w:pPr>
              <w:spacing w:beforeAutospacing="1" w:afterAutospacing="1"/>
            </w:pPr>
            <w:r>
              <w:rPr>
                <w:color w:val="000000"/>
                <w:sz w:val="22"/>
              </w:rPr>
              <w:t>CDBG: $</w:t>
            </w:r>
          </w:p>
        </w:tc>
        <w:tc>
          <w:tcPr>
            <w:tcW w:w="0" w:type="auto"/>
            <w:vAlign w:val="center"/>
          </w:tcPr>
          <w:p w14:paraId="017ADABA" w14:textId="77777777" w:rsidR="004E7119" w:rsidRDefault="002A3363">
            <w:pPr>
              <w:spacing w:beforeAutospacing="1" w:afterAutospacing="1"/>
            </w:pPr>
            <w:r>
              <w:rPr>
                <w:color w:val="000000"/>
                <w:sz w:val="22"/>
              </w:rPr>
              <w:t>Public Facility or Infrastructure Activities other than Low/Moderate Income Housing Benefit</w:t>
            </w:r>
          </w:p>
        </w:tc>
        <w:tc>
          <w:tcPr>
            <w:tcW w:w="0" w:type="auto"/>
            <w:vAlign w:val="center"/>
          </w:tcPr>
          <w:p w14:paraId="6125B5FC" w14:textId="77777777" w:rsidR="004E7119" w:rsidRDefault="002A3363">
            <w:pPr>
              <w:spacing w:beforeAutospacing="1" w:afterAutospacing="1"/>
            </w:pPr>
            <w:r>
              <w:rPr>
                <w:color w:val="000000"/>
                <w:sz w:val="22"/>
              </w:rPr>
              <w:t>Persons Assisted</w:t>
            </w:r>
          </w:p>
        </w:tc>
        <w:tc>
          <w:tcPr>
            <w:tcW w:w="0" w:type="auto"/>
            <w:vAlign w:val="center"/>
          </w:tcPr>
          <w:p w14:paraId="7EC36906" w14:textId="06109CEB" w:rsidR="004E7119" w:rsidRDefault="00383430">
            <w:pPr>
              <w:spacing w:beforeAutospacing="1" w:afterAutospacing="1"/>
            </w:pPr>
            <w:r>
              <w:rPr>
                <w:color w:val="000000"/>
                <w:sz w:val="22"/>
              </w:rPr>
              <w:t>1</w:t>
            </w:r>
            <w:r w:rsidR="00967B0F">
              <w:rPr>
                <w:color w:val="000000"/>
                <w:sz w:val="22"/>
              </w:rPr>
              <w:t>8</w:t>
            </w:r>
            <w:r>
              <w:rPr>
                <w:color w:val="000000"/>
                <w:sz w:val="22"/>
              </w:rPr>
              <w:t>0</w:t>
            </w:r>
            <w:r w:rsidR="00967B0F">
              <w:rPr>
                <w:color w:val="000000"/>
                <w:sz w:val="22"/>
              </w:rPr>
              <w:t>8</w:t>
            </w:r>
            <w:r>
              <w:rPr>
                <w:color w:val="000000"/>
                <w:sz w:val="22"/>
              </w:rPr>
              <w:t>5</w:t>
            </w:r>
          </w:p>
        </w:tc>
        <w:tc>
          <w:tcPr>
            <w:tcW w:w="0" w:type="auto"/>
            <w:vAlign w:val="center"/>
          </w:tcPr>
          <w:p w14:paraId="29A106BD" w14:textId="013B6DC0" w:rsidR="004E7119" w:rsidRPr="00554657" w:rsidRDefault="00383430">
            <w:pPr>
              <w:spacing w:beforeAutospacing="1" w:afterAutospacing="1"/>
              <w:rPr>
                <w:highlight w:val="cyan"/>
              </w:rPr>
            </w:pPr>
            <w:r>
              <w:rPr>
                <w:color w:val="000000"/>
                <w:sz w:val="22"/>
              </w:rPr>
              <w:t>12710</w:t>
            </w:r>
          </w:p>
        </w:tc>
        <w:tc>
          <w:tcPr>
            <w:tcW w:w="0" w:type="auto"/>
            <w:vAlign w:val="center"/>
          </w:tcPr>
          <w:p w14:paraId="218C485E" w14:textId="71114040" w:rsidR="004E7119" w:rsidRDefault="002A3363">
            <w:pPr>
              <w:spacing w:beforeAutospacing="1" w:afterAutospacing="1"/>
            </w:pPr>
            <w:r>
              <w:rPr>
                <w:color w:val="000000"/>
                <w:sz w:val="22"/>
              </w:rPr>
              <w:t xml:space="preserve">         </w:t>
            </w:r>
            <w:r w:rsidR="00967B0F">
              <w:rPr>
                <w:color w:val="000000"/>
                <w:sz w:val="22"/>
              </w:rPr>
              <w:t>42.28</w:t>
            </w:r>
            <w:r>
              <w:rPr>
                <w:color w:val="000000"/>
                <w:sz w:val="22"/>
              </w:rPr>
              <w:t>%</w:t>
            </w:r>
          </w:p>
        </w:tc>
        <w:tc>
          <w:tcPr>
            <w:tcW w:w="0" w:type="auto"/>
            <w:vAlign w:val="center"/>
          </w:tcPr>
          <w:p w14:paraId="1DC11179" w14:textId="794DAB5A" w:rsidR="004E7119" w:rsidRDefault="002A3363">
            <w:pPr>
              <w:spacing w:beforeAutospacing="1" w:afterAutospacing="1"/>
            </w:pPr>
            <w:r>
              <w:rPr>
                <w:color w:val="000000"/>
                <w:sz w:val="22"/>
              </w:rPr>
              <w:t>1</w:t>
            </w:r>
            <w:r w:rsidR="00027D94">
              <w:rPr>
                <w:color w:val="000000"/>
                <w:sz w:val="22"/>
              </w:rPr>
              <w:t>2</w:t>
            </w:r>
            <w:r w:rsidR="00967B0F">
              <w:rPr>
                <w:color w:val="000000"/>
                <w:sz w:val="22"/>
              </w:rPr>
              <w:t>710</w:t>
            </w:r>
          </w:p>
        </w:tc>
        <w:tc>
          <w:tcPr>
            <w:tcW w:w="0" w:type="auto"/>
            <w:vAlign w:val="center"/>
          </w:tcPr>
          <w:p w14:paraId="12C801D6" w14:textId="34C371B5" w:rsidR="004E7119" w:rsidRPr="00554657" w:rsidRDefault="00FC05B9">
            <w:pPr>
              <w:spacing w:beforeAutospacing="1" w:afterAutospacing="1"/>
              <w:rPr>
                <w:highlight w:val="cyan"/>
              </w:rPr>
            </w:pPr>
            <w:r>
              <w:rPr>
                <w:color w:val="000000"/>
                <w:sz w:val="22"/>
              </w:rPr>
              <w:t>12710</w:t>
            </w:r>
          </w:p>
        </w:tc>
        <w:tc>
          <w:tcPr>
            <w:tcW w:w="0" w:type="auto"/>
            <w:vAlign w:val="center"/>
          </w:tcPr>
          <w:p w14:paraId="1DFB2F08" w14:textId="6E9C8598" w:rsidR="004E7119" w:rsidRDefault="002A3363">
            <w:pPr>
              <w:spacing w:beforeAutospacing="1" w:afterAutospacing="1"/>
            </w:pPr>
            <w:r>
              <w:rPr>
                <w:color w:val="000000"/>
                <w:sz w:val="22"/>
              </w:rPr>
              <w:t xml:space="preserve">         </w:t>
            </w:r>
            <w:r w:rsidR="003022E2">
              <w:rPr>
                <w:color w:val="000000"/>
                <w:sz w:val="22"/>
              </w:rPr>
              <w:t>10</w:t>
            </w:r>
            <w:r w:rsidR="00FC05B9">
              <w:rPr>
                <w:color w:val="000000"/>
                <w:sz w:val="22"/>
              </w:rPr>
              <w:t>0</w:t>
            </w:r>
            <w:r w:rsidR="003022E2">
              <w:rPr>
                <w:color w:val="000000"/>
                <w:sz w:val="22"/>
              </w:rPr>
              <w:t>.</w:t>
            </w:r>
            <w:r>
              <w:rPr>
                <w:color w:val="000000"/>
                <w:sz w:val="22"/>
              </w:rPr>
              <w:t>00%</w:t>
            </w:r>
          </w:p>
        </w:tc>
      </w:tr>
      <w:tr w:rsidR="004E7119" w14:paraId="2981C086" w14:textId="77777777">
        <w:trPr>
          <w:cantSplit/>
        </w:trPr>
        <w:tc>
          <w:tcPr>
            <w:tcW w:w="0" w:type="auto"/>
            <w:vAlign w:val="center"/>
          </w:tcPr>
          <w:p w14:paraId="11167E26" w14:textId="77777777" w:rsidR="004E7119" w:rsidRDefault="002A3363">
            <w:pPr>
              <w:spacing w:beforeAutospacing="1" w:afterAutospacing="1"/>
            </w:pPr>
            <w:r>
              <w:rPr>
                <w:color w:val="000000"/>
                <w:sz w:val="22"/>
              </w:rPr>
              <w:t>Improve Low/Moderate Income Neighborhoods</w:t>
            </w:r>
          </w:p>
        </w:tc>
        <w:tc>
          <w:tcPr>
            <w:tcW w:w="0" w:type="auto"/>
            <w:vAlign w:val="center"/>
          </w:tcPr>
          <w:p w14:paraId="26F2395E" w14:textId="77777777" w:rsidR="004E7119" w:rsidRDefault="002A3363">
            <w:pPr>
              <w:spacing w:beforeAutospacing="1" w:afterAutospacing="1"/>
            </w:pPr>
            <w:r>
              <w:rPr>
                <w:color w:val="000000"/>
                <w:sz w:val="22"/>
              </w:rPr>
              <w:t>Non-Homeless Special Needs</w:t>
            </w:r>
            <w:r>
              <w:rPr>
                <w:color w:val="000000"/>
                <w:sz w:val="22"/>
              </w:rPr>
              <w:br/>
              <w:t>Non-Housing Community Development</w:t>
            </w:r>
          </w:p>
        </w:tc>
        <w:tc>
          <w:tcPr>
            <w:tcW w:w="0" w:type="auto"/>
            <w:vAlign w:val="center"/>
          </w:tcPr>
          <w:p w14:paraId="358FA284" w14:textId="77777777" w:rsidR="004E7119" w:rsidRDefault="002A3363">
            <w:pPr>
              <w:spacing w:beforeAutospacing="1" w:afterAutospacing="1"/>
            </w:pPr>
            <w:r>
              <w:rPr>
                <w:color w:val="000000"/>
                <w:sz w:val="22"/>
              </w:rPr>
              <w:t>CDBG: $</w:t>
            </w:r>
          </w:p>
        </w:tc>
        <w:tc>
          <w:tcPr>
            <w:tcW w:w="0" w:type="auto"/>
            <w:vAlign w:val="center"/>
          </w:tcPr>
          <w:p w14:paraId="625A73D9" w14:textId="77777777" w:rsidR="004E7119" w:rsidRDefault="002A3363">
            <w:pPr>
              <w:spacing w:beforeAutospacing="1" w:afterAutospacing="1"/>
            </w:pPr>
            <w:r>
              <w:rPr>
                <w:color w:val="000000"/>
                <w:sz w:val="22"/>
              </w:rPr>
              <w:t>Buildings Demolished</w:t>
            </w:r>
          </w:p>
        </w:tc>
        <w:tc>
          <w:tcPr>
            <w:tcW w:w="0" w:type="auto"/>
            <w:vAlign w:val="center"/>
          </w:tcPr>
          <w:p w14:paraId="431B3A20" w14:textId="77777777" w:rsidR="004E7119" w:rsidRDefault="002A3363">
            <w:pPr>
              <w:spacing w:beforeAutospacing="1" w:afterAutospacing="1"/>
            </w:pPr>
            <w:r>
              <w:rPr>
                <w:color w:val="000000"/>
                <w:sz w:val="22"/>
              </w:rPr>
              <w:t>Buildings</w:t>
            </w:r>
          </w:p>
        </w:tc>
        <w:tc>
          <w:tcPr>
            <w:tcW w:w="0" w:type="auto"/>
            <w:vAlign w:val="center"/>
          </w:tcPr>
          <w:p w14:paraId="0691C5DB" w14:textId="77777777" w:rsidR="004E7119" w:rsidRDefault="002A3363">
            <w:pPr>
              <w:spacing w:beforeAutospacing="1" w:afterAutospacing="1"/>
            </w:pPr>
            <w:r>
              <w:rPr>
                <w:color w:val="000000"/>
                <w:sz w:val="22"/>
              </w:rPr>
              <w:t>10</w:t>
            </w:r>
          </w:p>
        </w:tc>
        <w:tc>
          <w:tcPr>
            <w:tcW w:w="0" w:type="auto"/>
            <w:vAlign w:val="center"/>
          </w:tcPr>
          <w:p w14:paraId="21600913" w14:textId="3F25C422" w:rsidR="004E7119" w:rsidRPr="00554657" w:rsidRDefault="00EE1D57">
            <w:pPr>
              <w:spacing w:beforeAutospacing="1" w:afterAutospacing="1"/>
              <w:rPr>
                <w:highlight w:val="cyan"/>
              </w:rPr>
            </w:pPr>
            <w:r w:rsidRPr="005D1004">
              <w:rPr>
                <w:color w:val="000000"/>
                <w:sz w:val="22"/>
              </w:rPr>
              <w:t>0</w:t>
            </w:r>
          </w:p>
        </w:tc>
        <w:tc>
          <w:tcPr>
            <w:tcW w:w="0" w:type="auto"/>
            <w:vAlign w:val="center"/>
          </w:tcPr>
          <w:p w14:paraId="7C48DF50" w14:textId="62BD3879" w:rsidR="004E7119" w:rsidRDefault="002A3363">
            <w:pPr>
              <w:spacing w:beforeAutospacing="1" w:afterAutospacing="1"/>
            </w:pPr>
            <w:r>
              <w:rPr>
                <w:color w:val="000000"/>
                <w:sz w:val="22"/>
              </w:rPr>
              <w:t xml:space="preserve">        </w:t>
            </w:r>
            <w:r w:rsidR="009A0424">
              <w:rPr>
                <w:color w:val="000000"/>
                <w:sz w:val="22"/>
              </w:rPr>
              <w:t>0</w:t>
            </w:r>
            <w:r>
              <w:rPr>
                <w:color w:val="000000"/>
                <w:sz w:val="22"/>
              </w:rPr>
              <w:t>0.00%</w:t>
            </w:r>
          </w:p>
        </w:tc>
        <w:tc>
          <w:tcPr>
            <w:tcW w:w="0" w:type="auto"/>
            <w:vAlign w:val="center"/>
          </w:tcPr>
          <w:p w14:paraId="12ABEFDC" w14:textId="77777777" w:rsidR="004E7119" w:rsidRDefault="002A3363">
            <w:pPr>
              <w:spacing w:beforeAutospacing="1" w:afterAutospacing="1"/>
            </w:pPr>
            <w:r>
              <w:rPr>
                <w:color w:val="000000"/>
                <w:sz w:val="22"/>
              </w:rPr>
              <w:t>10</w:t>
            </w:r>
          </w:p>
        </w:tc>
        <w:tc>
          <w:tcPr>
            <w:tcW w:w="0" w:type="auto"/>
            <w:vAlign w:val="center"/>
          </w:tcPr>
          <w:p w14:paraId="691D7EB2" w14:textId="7087B072" w:rsidR="004E7119" w:rsidRPr="00554657" w:rsidRDefault="00EE1D57">
            <w:pPr>
              <w:spacing w:beforeAutospacing="1" w:afterAutospacing="1"/>
              <w:rPr>
                <w:highlight w:val="cyan"/>
              </w:rPr>
            </w:pPr>
            <w:r w:rsidRPr="005D1004">
              <w:rPr>
                <w:color w:val="000000"/>
                <w:sz w:val="22"/>
              </w:rPr>
              <w:t>0</w:t>
            </w:r>
          </w:p>
        </w:tc>
        <w:tc>
          <w:tcPr>
            <w:tcW w:w="0" w:type="auto"/>
            <w:vAlign w:val="center"/>
          </w:tcPr>
          <w:p w14:paraId="2B926036" w14:textId="1BD76E2B" w:rsidR="004E7119" w:rsidRDefault="002A3363">
            <w:pPr>
              <w:spacing w:beforeAutospacing="1" w:afterAutospacing="1"/>
            </w:pPr>
            <w:r>
              <w:rPr>
                <w:color w:val="000000"/>
                <w:sz w:val="22"/>
              </w:rPr>
              <w:t xml:space="preserve">        </w:t>
            </w:r>
            <w:r w:rsidR="009A0424">
              <w:rPr>
                <w:color w:val="000000"/>
                <w:sz w:val="22"/>
              </w:rPr>
              <w:t>0</w:t>
            </w:r>
            <w:r>
              <w:rPr>
                <w:color w:val="000000"/>
                <w:sz w:val="22"/>
              </w:rPr>
              <w:t>.00%</w:t>
            </w:r>
          </w:p>
        </w:tc>
      </w:tr>
      <w:tr w:rsidR="004E7119" w14:paraId="55A9AC04" w14:textId="77777777">
        <w:trPr>
          <w:cantSplit/>
        </w:trPr>
        <w:tc>
          <w:tcPr>
            <w:tcW w:w="0" w:type="auto"/>
            <w:vAlign w:val="center"/>
          </w:tcPr>
          <w:p w14:paraId="71C3A467" w14:textId="77777777" w:rsidR="004E7119" w:rsidRDefault="002A3363">
            <w:pPr>
              <w:spacing w:beforeAutospacing="1" w:afterAutospacing="1"/>
            </w:pPr>
            <w:r>
              <w:rPr>
                <w:color w:val="000000"/>
                <w:sz w:val="22"/>
              </w:rPr>
              <w:t>Increase capacity of CHDO partners</w:t>
            </w:r>
          </w:p>
        </w:tc>
        <w:tc>
          <w:tcPr>
            <w:tcW w:w="0" w:type="auto"/>
            <w:vAlign w:val="center"/>
          </w:tcPr>
          <w:p w14:paraId="7986E772" w14:textId="77777777" w:rsidR="004E7119" w:rsidRDefault="002A3363">
            <w:pPr>
              <w:spacing w:beforeAutospacing="1" w:afterAutospacing="1"/>
            </w:pPr>
            <w:r>
              <w:rPr>
                <w:color w:val="000000"/>
                <w:sz w:val="22"/>
              </w:rPr>
              <w:t>Affordable Housing</w:t>
            </w:r>
          </w:p>
        </w:tc>
        <w:tc>
          <w:tcPr>
            <w:tcW w:w="0" w:type="auto"/>
            <w:vAlign w:val="center"/>
          </w:tcPr>
          <w:p w14:paraId="4769ED23" w14:textId="77777777" w:rsidR="004E7119" w:rsidRDefault="002A3363">
            <w:pPr>
              <w:spacing w:beforeAutospacing="1" w:afterAutospacing="1"/>
            </w:pPr>
            <w:r>
              <w:rPr>
                <w:color w:val="000000"/>
                <w:sz w:val="22"/>
              </w:rPr>
              <w:t>HOME: $</w:t>
            </w:r>
          </w:p>
        </w:tc>
        <w:tc>
          <w:tcPr>
            <w:tcW w:w="0" w:type="auto"/>
            <w:vAlign w:val="center"/>
          </w:tcPr>
          <w:p w14:paraId="45BB20C5" w14:textId="77777777" w:rsidR="004E7119" w:rsidRDefault="002A3363">
            <w:pPr>
              <w:spacing w:beforeAutospacing="1" w:afterAutospacing="1"/>
            </w:pPr>
            <w:r>
              <w:rPr>
                <w:color w:val="000000"/>
                <w:sz w:val="22"/>
              </w:rPr>
              <w:t>Other</w:t>
            </w:r>
          </w:p>
        </w:tc>
        <w:tc>
          <w:tcPr>
            <w:tcW w:w="0" w:type="auto"/>
            <w:vAlign w:val="center"/>
          </w:tcPr>
          <w:p w14:paraId="36E5033A" w14:textId="77777777" w:rsidR="004E7119" w:rsidRDefault="002A3363">
            <w:pPr>
              <w:spacing w:beforeAutospacing="1" w:afterAutospacing="1"/>
            </w:pPr>
            <w:r>
              <w:rPr>
                <w:color w:val="000000"/>
                <w:sz w:val="22"/>
              </w:rPr>
              <w:t>Other</w:t>
            </w:r>
          </w:p>
        </w:tc>
        <w:tc>
          <w:tcPr>
            <w:tcW w:w="0" w:type="auto"/>
            <w:vAlign w:val="center"/>
          </w:tcPr>
          <w:p w14:paraId="0AB9A3DC" w14:textId="77777777" w:rsidR="004E7119" w:rsidRDefault="002A3363">
            <w:pPr>
              <w:spacing w:beforeAutospacing="1" w:afterAutospacing="1"/>
            </w:pPr>
            <w:r>
              <w:rPr>
                <w:color w:val="000000"/>
                <w:sz w:val="22"/>
              </w:rPr>
              <w:t>3</w:t>
            </w:r>
          </w:p>
        </w:tc>
        <w:tc>
          <w:tcPr>
            <w:tcW w:w="0" w:type="auto"/>
            <w:vAlign w:val="center"/>
          </w:tcPr>
          <w:p w14:paraId="0ECFF5F5" w14:textId="77777777" w:rsidR="004E7119" w:rsidRPr="00554657" w:rsidRDefault="002A3363">
            <w:pPr>
              <w:spacing w:beforeAutospacing="1" w:afterAutospacing="1"/>
              <w:rPr>
                <w:highlight w:val="cyan"/>
              </w:rPr>
            </w:pPr>
            <w:r w:rsidRPr="00383430">
              <w:rPr>
                <w:color w:val="000000"/>
                <w:sz w:val="22"/>
              </w:rPr>
              <w:t>0</w:t>
            </w:r>
          </w:p>
        </w:tc>
        <w:tc>
          <w:tcPr>
            <w:tcW w:w="0" w:type="auto"/>
            <w:vAlign w:val="center"/>
          </w:tcPr>
          <w:p w14:paraId="5B1B72F9" w14:textId="77777777" w:rsidR="004E7119" w:rsidRDefault="002A3363">
            <w:pPr>
              <w:spacing w:beforeAutospacing="1" w:afterAutospacing="1"/>
            </w:pPr>
            <w:r>
              <w:rPr>
                <w:color w:val="000000"/>
                <w:sz w:val="22"/>
              </w:rPr>
              <w:t xml:space="preserve">         0.00%</w:t>
            </w:r>
          </w:p>
        </w:tc>
        <w:tc>
          <w:tcPr>
            <w:tcW w:w="0" w:type="auto"/>
            <w:vAlign w:val="center"/>
          </w:tcPr>
          <w:p w14:paraId="4716926C" w14:textId="320C4088" w:rsidR="004E7119" w:rsidRDefault="002A3363">
            <w:pPr>
              <w:spacing w:beforeAutospacing="1" w:afterAutospacing="1"/>
            </w:pPr>
            <w:r>
              <w:rPr>
                <w:color w:val="000000"/>
                <w:sz w:val="22"/>
              </w:rPr>
              <w:t xml:space="preserve"> </w:t>
            </w:r>
            <w:r w:rsidR="007376E3">
              <w:rPr>
                <w:color w:val="000000"/>
                <w:sz w:val="22"/>
              </w:rPr>
              <w:t>1</w:t>
            </w:r>
          </w:p>
        </w:tc>
        <w:tc>
          <w:tcPr>
            <w:tcW w:w="0" w:type="auto"/>
            <w:vAlign w:val="center"/>
          </w:tcPr>
          <w:p w14:paraId="47FC1C84" w14:textId="587A1284" w:rsidR="004E7119" w:rsidRDefault="002A3363">
            <w:pPr>
              <w:spacing w:beforeAutospacing="1" w:afterAutospacing="1"/>
            </w:pPr>
            <w:r>
              <w:rPr>
                <w:color w:val="000000"/>
                <w:sz w:val="22"/>
              </w:rPr>
              <w:t xml:space="preserve"> </w:t>
            </w:r>
            <w:r w:rsidR="00383430">
              <w:rPr>
                <w:color w:val="000000"/>
                <w:sz w:val="22"/>
              </w:rPr>
              <w:t>0</w:t>
            </w:r>
          </w:p>
        </w:tc>
        <w:tc>
          <w:tcPr>
            <w:tcW w:w="0" w:type="auto"/>
            <w:vAlign w:val="center"/>
          </w:tcPr>
          <w:p w14:paraId="2DDEC148" w14:textId="6AB66404" w:rsidR="004E7119" w:rsidRDefault="002A3363">
            <w:pPr>
              <w:spacing w:beforeAutospacing="1" w:afterAutospacing="1"/>
            </w:pPr>
            <w:r>
              <w:rPr>
                <w:color w:val="000000"/>
                <w:sz w:val="22"/>
              </w:rPr>
              <w:t xml:space="preserve"> </w:t>
            </w:r>
            <w:r w:rsidR="007376E3">
              <w:rPr>
                <w:color w:val="000000"/>
                <w:sz w:val="22"/>
              </w:rPr>
              <w:t>0.00</w:t>
            </w:r>
          </w:p>
        </w:tc>
      </w:tr>
      <w:tr w:rsidR="004E7119" w14:paraId="1FB892BA" w14:textId="77777777">
        <w:trPr>
          <w:cantSplit/>
        </w:trPr>
        <w:tc>
          <w:tcPr>
            <w:tcW w:w="0" w:type="auto"/>
            <w:vAlign w:val="center"/>
          </w:tcPr>
          <w:p w14:paraId="6938EC85" w14:textId="77777777" w:rsidR="004E7119" w:rsidRDefault="002A3363">
            <w:pPr>
              <w:spacing w:beforeAutospacing="1" w:afterAutospacing="1"/>
            </w:pPr>
            <w:r>
              <w:rPr>
                <w:color w:val="000000"/>
                <w:sz w:val="22"/>
              </w:rPr>
              <w:t>Provide human services</w:t>
            </w:r>
          </w:p>
        </w:tc>
        <w:tc>
          <w:tcPr>
            <w:tcW w:w="0" w:type="auto"/>
            <w:vAlign w:val="center"/>
          </w:tcPr>
          <w:p w14:paraId="47D686B4" w14:textId="77777777" w:rsidR="004E7119" w:rsidRDefault="002A3363">
            <w:pPr>
              <w:spacing w:beforeAutospacing="1" w:afterAutospacing="1"/>
            </w:pPr>
            <w:r>
              <w:rPr>
                <w:color w:val="000000"/>
                <w:sz w:val="22"/>
              </w:rPr>
              <w:t>Homeless</w:t>
            </w:r>
          </w:p>
        </w:tc>
        <w:tc>
          <w:tcPr>
            <w:tcW w:w="0" w:type="auto"/>
            <w:vAlign w:val="center"/>
          </w:tcPr>
          <w:p w14:paraId="0BFA7FCF" w14:textId="77777777" w:rsidR="004E7119" w:rsidRDefault="002A3363">
            <w:pPr>
              <w:spacing w:beforeAutospacing="1" w:afterAutospacing="1"/>
            </w:pPr>
            <w:r>
              <w:rPr>
                <w:color w:val="000000"/>
                <w:sz w:val="22"/>
              </w:rPr>
              <w:t>CDBG: $</w:t>
            </w:r>
          </w:p>
        </w:tc>
        <w:tc>
          <w:tcPr>
            <w:tcW w:w="0" w:type="auto"/>
            <w:vAlign w:val="center"/>
          </w:tcPr>
          <w:p w14:paraId="2405E891" w14:textId="77777777" w:rsidR="004E7119" w:rsidRDefault="002A3363">
            <w:pPr>
              <w:spacing w:beforeAutospacing="1" w:afterAutospacing="1"/>
            </w:pPr>
            <w:r>
              <w:rPr>
                <w:color w:val="000000"/>
                <w:sz w:val="22"/>
              </w:rPr>
              <w:t>Public service activities other than Low/Moderate Income Housing Benefit</w:t>
            </w:r>
          </w:p>
        </w:tc>
        <w:tc>
          <w:tcPr>
            <w:tcW w:w="0" w:type="auto"/>
            <w:vAlign w:val="center"/>
          </w:tcPr>
          <w:p w14:paraId="11B7B747" w14:textId="77777777" w:rsidR="004E7119" w:rsidRDefault="002A3363">
            <w:pPr>
              <w:spacing w:beforeAutospacing="1" w:afterAutospacing="1"/>
            </w:pPr>
            <w:r>
              <w:rPr>
                <w:color w:val="000000"/>
                <w:sz w:val="22"/>
              </w:rPr>
              <w:t>Persons Assisted</w:t>
            </w:r>
          </w:p>
        </w:tc>
        <w:tc>
          <w:tcPr>
            <w:tcW w:w="0" w:type="auto"/>
            <w:vAlign w:val="center"/>
          </w:tcPr>
          <w:p w14:paraId="4FFEE5E6" w14:textId="0D6B0471" w:rsidR="004E7119" w:rsidRDefault="00383430">
            <w:pPr>
              <w:spacing w:beforeAutospacing="1" w:afterAutospacing="1"/>
            </w:pPr>
            <w:r>
              <w:rPr>
                <w:color w:val="000000"/>
                <w:sz w:val="22"/>
              </w:rPr>
              <w:t>1837</w:t>
            </w:r>
          </w:p>
        </w:tc>
        <w:tc>
          <w:tcPr>
            <w:tcW w:w="0" w:type="auto"/>
            <w:vAlign w:val="center"/>
          </w:tcPr>
          <w:p w14:paraId="00C690DC" w14:textId="3F235415" w:rsidR="004E7119" w:rsidRDefault="006E2DE3">
            <w:pPr>
              <w:spacing w:beforeAutospacing="1" w:afterAutospacing="1"/>
            </w:pPr>
            <w:r>
              <w:rPr>
                <w:color w:val="000000"/>
                <w:sz w:val="22"/>
              </w:rPr>
              <w:t>854</w:t>
            </w:r>
          </w:p>
        </w:tc>
        <w:tc>
          <w:tcPr>
            <w:tcW w:w="0" w:type="auto"/>
            <w:vAlign w:val="center"/>
          </w:tcPr>
          <w:p w14:paraId="151E6BE6" w14:textId="77777777" w:rsidR="00B40243" w:rsidRPr="00B40243" w:rsidRDefault="002A3363">
            <w:pPr>
              <w:spacing w:beforeAutospacing="1" w:afterAutospacing="1"/>
              <w:rPr>
                <w:color w:val="000000"/>
                <w:sz w:val="22"/>
              </w:rPr>
            </w:pPr>
            <w:r w:rsidRPr="00B40243">
              <w:rPr>
                <w:color w:val="000000"/>
                <w:sz w:val="22"/>
              </w:rPr>
              <w:t xml:space="preserve">       </w:t>
            </w:r>
          </w:p>
          <w:p w14:paraId="5858239A" w14:textId="1E05206C" w:rsidR="004E7119" w:rsidRPr="00B40243" w:rsidRDefault="006E2DE3">
            <w:pPr>
              <w:spacing w:beforeAutospacing="1" w:afterAutospacing="1"/>
              <w:rPr>
                <w:color w:val="000000"/>
                <w:sz w:val="22"/>
              </w:rPr>
            </w:pPr>
            <w:r>
              <w:rPr>
                <w:color w:val="000000"/>
                <w:sz w:val="22"/>
              </w:rPr>
              <w:t>46</w:t>
            </w:r>
            <w:r w:rsidR="002A3363" w:rsidRPr="00B40243">
              <w:rPr>
                <w:color w:val="000000"/>
                <w:sz w:val="22"/>
              </w:rPr>
              <w:t>%</w:t>
            </w:r>
          </w:p>
          <w:p w14:paraId="5CAFF567" w14:textId="1C4FDFB8" w:rsidR="000C6D64" w:rsidRPr="00B40243" w:rsidRDefault="000C6D64">
            <w:pPr>
              <w:spacing w:beforeAutospacing="1" w:afterAutospacing="1"/>
            </w:pPr>
          </w:p>
        </w:tc>
        <w:tc>
          <w:tcPr>
            <w:tcW w:w="0" w:type="auto"/>
            <w:vAlign w:val="center"/>
          </w:tcPr>
          <w:p w14:paraId="65665412" w14:textId="4CE01E93" w:rsidR="004E7119" w:rsidRPr="00B40243" w:rsidRDefault="006E2DE3">
            <w:pPr>
              <w:spacing w:beforeAutospacing="1" w:afterAutospacing="1"/>
            </w:pPr>
            <w:r>
              <w:rPr>
                <w:color w:val="000000"/>
                <w:sz w:val="22"/>
              </w:rPr>
              <w:t>854</w:t>
            </w:r>
          </w:p>
        </w:tc>
        <w:tc>
          <w:tcPr>
            <w:tcW w:w="0" w:type="auto"/>
            <w:vAlign w:val="center"/>
          </w:tcPr>
          <w:p w14:paraId="21B4322C" w14:textId="0EB27026" w:rsidR="004E7119" w:rsidRPr="00B40243" w:rsidRDefault="002A3363">
            <w:pPr>
              <w:spacing w:beforeAutospacing="1" w:afterAutospacing="1"/>
            </w:pPr>
            <w:r w:rsidRPr="00B40243">
              <w:rPr>
                <w:color w:val="000000"/>
                <w:sz w:val="22"/>
              </w:rPr>
              <w:t>1</w:t>
            </w:r>
            <w:r w:rsidR="007C4B20" w:rsidRPr="00B40243">
              <w:rPr>
                <w:color w:val="000000"/>
                <w:sz w:val="22"/>
              </w:rPr>
              <w:t>415</w:t>
            </w:r>
          </w:p>
        </w:tc>
        <w:tc>
          <w:tcPr>
            <w:tcW w:w="0" w:type="auto"/>
            <w:vAlign w:val="center"/>
          </w:tcPr>
          <w:p w14:paraId="18F59096" w14:textId="5AB24B42" w:rsidR="004E7119" w:rsidRPr="00B40243" w:rsidRDefault="002A3363">
            <w:pPr>
              <w:spacing w:beforeAutospacing="1" w:afterAutospacing="1"/>
            </w:pPr>
            <w:r w:rsidRPr="00B40243">
              <w:rPr>
                <w:color w:val="000000"/>
                <w:sz w:val="22"/>
              </w:rPr>
              <w:t xml:space="preserve">       </w:t>
            </w:r>
            <w:r w:rsidR="006E2DE3">
              <w:rPr>
                <w:color w:val="000000"/>
                <w:sz w:val="22"/>
              </w:rPr>
              <w:t>139</w:t>
            </w:r>
            <w:r w:rsidRPr="00B40243">
              <w:rPr>
                <w:color w:val="000000"/>
                <w:sz w:val="22"/>
              </w:rPr>
              <w:t>%</w:t>
            </w:r>
          </w:p>
        </w:tc>
      </w:tr>
      <w:tr w:rsidR="004E7119" w14:paraId="7A472EA8" w14:textId="77777777">
        <w:trPr>
          <w:cantSplit/>
        </w:trPr>
        <w:tc>
          <w:tcPr>
            <w:tcW w:w="0" w:type="auto"/>
            <w:vAlign w:val="center"/>
          </w:tcPr>
          <w:p w14:paraId="06E1A0F2" w14:textId="77777777" w:rsidR="004E7119" w:rsidRDefault="002A3363">
            <w:pPr>
              <w:spacing w:beforeAutospacing="1" w:afterAutospacing="1"/>
            </w:pPr>
            <w:r>
              <w:rPr>
                <w:color w:val="000000"/>
                <w:sz w:val="22"/>
              </w:rPr>
              <w:lastRenderedPageBreak/>
              <w:t>Provide human services</w:t>
            </w:r>
          </w:p>
        </w:tc>
        <w:tc>
          <w:tcPr>
            <w:tcW w:w="0" w:type="auto"/>
            <w:vAlign w:val="center"/>
          </w:tcPr>
          <w:p w14:paraId="18E8204F" w14:textId="77777777" w:rsidR="004E7119" w:rsidRDefault="002A3363">
            <w:pPr>
              <w:spacing w:beforeAutospacing="1" w:afterAutospacing="1"/>
            </w:pPr>
            <w:r>
              <w:rPr>
                <w:color w:val="000000"/>
                <w:sz w:val="22"/>
              </w:rPr>
              <w:t>Homeless</w:t>
            </w:r>
          </w:p>
        </w:tc>
        <w:tc>
          <w:tcPr>
            <w:tcW w:w="0" w:type="auto"/>
            <w:vAlign w:val="center"/>
          </w:tcPr>
          <w:p w14:paraId="1C2C399D" w14:textId="77777777" w:rsidR="004E7119" w:rsidRDefault="002A3363">
            <w:pPr>
              <w:spacing w:beforeAutospacing="1" w:afterAutospacing="1"/>
            </w:pPr>
            <w:r>
              <w:rPr>
                <w:color w:val="000000"/>
                <w:sz w:val="22"/>
              </w:rPr>
              <w:t>CDBG: $</w:t>
            </w:r>
          </w:p>
        </w:tc>
        <w:tc>
          <w:tcPr>
            <w:tcW w:w="0" w:type="auto"/>
            <w:vAlign w:val="center"/>
          </w:tcPr>
          <w:p w14:paraId="67AAF760" w14:textId="77777777" w:rsidR="004E7119" w:rsidRDefault="002A3363">
            <w:pPr>
              <w:spacing w:beforeAutospacing="1" w:afterAutospacing="1"/>
            </w:pPr>
            <w:r>
              <w:rPr>
                <w:color w:val="000000"/>
                <w:sz w:val="22"/>
              </w:rPr>
              <w:t>Homeless Person Overnight Shelter</w:t>
            </w:r>
          </w:p>
        </w:tc>
        <w:tc>
          <w:tcPr>
            <w:tcW w:w="0" w:type="auto"/>
            <w:vAlign w:val="center"/>
          </w:tcPr>
          <w:p w14:paraId="24E118AF" w14:textId="77777777" w:rsidR="004E7119" w:rsidRDefault="002A3363">
            <w:pPr>
              <w:spacing w:beforeAutospacing="1" w:afterAutospacing="1"/>
            </w:pPr>
            <w:r>
              <w:rPr>
                <w:color w:val="000000"/>
                <w:sz w:val="22"/>
              </w:rPr>
              <w:t>Persons Assisted</w:t>
            </w:r>
          </w:p>
        </w:tc>
        <w:tc>
          <w:tcPr>
            <w:tcW w:w="0" w:type="auto"/>
            <w:vAlign w:val="center"/>
          </w:tcPr>
          <w:p w14:paraId="6A7CC03F" w14:textId="77777777" w:rsidR="004E7119" w:rsidRDefault="002A3363">
            <w:pPr>
              <w:spacing w:beforeAutospacing="1" w:afterAutospacing="1"/>
            </w:pPr>
            <w:r>
              <w:rPr>
                <w:color w:val="000000"/>
                <w:sz w:val="22"/>
              </w:rPr>
              <w:t>0</w:t>
            </w:r>
          </w:p>
        </w:tc>
        <w:tc>
          <w:tcPr>
            <w:tcW w:w="0" w:type="auto"/>
            <w:vAlign w:val="center"/>
          </w:tcPr>
          <w:p w14:paraId="4EE82673" w14:textId="77777777" w:rsidR="004E7119" w:rsidRDefault="002A3363">
            <w:pPr>
              <w:spacing w:beforeAutospacing="1" w:afterAutospacing="1"/>
            </w:pPr>
            <w:r>
              <w:rPr>
                <w:color w:val="000000"/>
                <w:sz w:val="22"/>
              </w:rPr>
              <w:t>0</w:t>
            </w:r>
          </w:p>
        </w:tc>
        <w:tc>
          <w:tcPr>
            <w:tcW w:w="0" w:type="auto"/>
            <w:vAlign w:val="center"/>
          </w:tcPr>
          <w:p w14:paraId="3B17E364" w14:textId="77777777" w:rsidR="004E7119" w:rsidRDefault="002A3363">
            <w:pPr>
              <w:spacing w:beforeAutospacing="1" w:afterAutospacing="1"/>
            </w:pPr>
            <w:r>
              <w:rPr>
                <w:color w:val="000000"/>
                <w:sz w:val="22"/>
              </w:rPr>
              <w:t xml:space="preserve"> </w:t>
            </w:r>
          </w:p>
        </w:tc>
        <w:tc>
          <w:tcPr>
            <w:tcW w:w="0" w:type="auto"/>
            <w:vAlign w:val="center"/>
          </w:tcPr>
          <w:p w14:paraId="1E7B5676" w14:textId="77777777" w:rsidR="004E7119" w:rsidRDefault="002A3363">
            <w:pPr>
              <w:spacing w:beforeAutospacing="1" w:afterAutospacing="1"/>
            </w:pPr>
            <w:r>
              <w:rPr>
                <w:color w:val="000000"/>
                <w:sz w:val="22"/>
              </w:rPr>
              <w:t>0</w:t>
            </w:r>
          </w:p>
        </w:tc>
        <w:tc>
          <w:tcPr>
            <w:tcW w:w="0" w:type="auto"/>
            <w:vAlign w:val="center"/>
          </w:tcPr>
          <w:p w14:paraId="7CB0AC41" w14:textId="77777777" w:rsidR="004E7119" w:rsidRDefault="002A3363">
            <w:pPr>
              <w:spacing w:beforeAutospacing="1" w:afterAutospacing="1"/>
            </w:pPr>
            <w:r>
              <w:rPr>
                <w:color w:val="000000"/>
                <w:sz w:val="22"/>
              </w:rPr>
              <w:t>0</w:t>
            </w:r>
          </w:p>
        </w:tc>
        <w:tc>
          <w:tcPr>
            <w:tcW w:w="0" w:type="auto"/>
            <w:vAlign w:val="center"/>
          </w:tcPr>
          <w:p w14:paraId="20CD2D14" w14:textId="77777777" w:rsidR="004E7119" w:rsidRDefault="002A3363">
            <w:pPr>
              <w:spacing w:beforeAutospacing="1" w:afterAutospacing="1"/>
            </w:pPr>
            <w:r>
              <w:rPr>
                <w:color w:val="000000"/>
                <w:sz w:val="22"/>
              </w:rPr>
              <w:t xml:space="preserve"> </w:t>
            </w:r>
          </w:p>
        </w:tc>
      </w:tr>
    </w:tbl>
    <w:p w14:paraId="17D5CD6F" w14:textId="445D86AA" w:rsidR="004E7119" w:rsidRDefault="002A3363">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sidR="00A85082">
        <w:rPr>
          <w:rFonts w:asciiTheme="minorHAnsi" w:hAnsiTheme="minorHAnsi"/>
          <w:noProof/>
        </w:rPr>
        <w:t>1</w:t>
      </w:r>
      <w:r>
        <w:rPr>
          <w:rFonts w:asciiTheme="minorHAnsi" w:hAnsiTheme="minorHAnsi"/>
        </w:rPr>
        <w:fldChar w:fldCharType="end"/>
      </w:r>
      <w:r>
        <w:rPr>
          <w:rFonts w:asciiTheme="minorHAnsi" w:hAnsiTheme="minorHAnsi"/>
        </w:rPr>
        <w:t xml:space="preserve"> - Accomplishments – Program Year &amp; Strategic Plan to Date</w:t>
      </w:r>
    </w:p>
    <w:p w14:paraId="0036CC1B" w14:textId="77777777" w:rsidR="004E7119" w:rsidRDefault="004E7119"/>
    <w:p w14:paraId="419660C5" w14:textId="77777777" w:rsidR="004E7119" w:rsidRDefault="002A3363">
      <w:pPr>
        <w:keepNext/>
        <w:widowControl w:val="0"/>
        <w:rPr>
          <w:b/>
          <w:sz w:val="24"/>
          <w:szCs w:val="24"/>
        </w:rPr>
      </w:pPr>
      <w:r>
        <w:rPr>
          <w:b/>
          <w:sz w:val="24"/>
          <w:szCs w:val="24"/>
        </w:rPr>
        <w:t>Assess how the jurisdiction’s use of funds, particularly CDBG, addresses the priorities and specific objectives identified in the plan, giving special attention to the highest priority activities identified.</w:t>
      </w:r>
    </w:p>
    <w:p w14:paraId="410B34B1" w14:textId="19CB8EE2" w:rsidR="004E7119" w:rsidRDefault="002A3363">
      <w:pPr>
        <w:keepNext/>
        <w:widowControl w:val="0"/>
        <w:spacing w:beforeAutospacing="1" w:afterAutospacing="1"/>
      </w:pPr>
      <w:r>
        <w:t xml:space="preserve">The Brevard County Consortium's estimated expenditures were approximately </w:t>
      </w:r>
      <w:r w:rsidR="00ED7660" w:rsidRPr="006736BE">
        <w:t>$520,303.88</w:t>
      </w:r>
      <w:r>
        <w:t xml:space="preserve"> in HOME Investment Partnerships Program funds between Brevard County and the cities of Titusville, Cocoa, </w:t>
      </w:r>
      <w:proofErr w:type="gramStart"/>
      <w:r>
        <w:t>Melbourne</w:t>
      </w:r>
      <w:proofErr w:type="gramEnd"/>
      <w:r>
        <w:t xml:space="preserve"> and Palm Bay.  Brevard County (County) expended approximately </w:t>
      </w:r>
      <w:r w:rsidR="00ED7660" w:rsidRPr="006736BE">
        <w:t>$1,400,274.17</w:t>
      </w:r>
      <w:r w:rsidRPr="006736BE">
        <w:t xml:space="preserve"> in</w:t>
      </w:r>
      <w:r>
        <w:t xml:space="preserve"> Community Development Block Grant and Community Development Block Grant-CV funds this past fiscal year.  The funds in each of the strategies noted above correspond to priorities outlined in the Consolidated Plan.</w:t>
      </w:r>
    </w:p>
    <w:p w14:paraId="65F13CF2" w14:textId="77777777" w:rsidR="004E7119" w:rsidRDefault="002A3363">
      <w:pPr>
        <w:keepNext/>
        <w:widowControl w:val="0"/>
        <w:spacing w:beforeAutospacing="1" w:afterAutospacing="1"/>
      </w:pPr>
      <w:r>
        <w:t xml:space="preserve">In addition to receiving HOME Investment Partnerships Program and Community Development Block Grant funds, the County utilized additional funds from local, </w:t>
      </w:r>
      <w:proofErr w:type="gramStart"/>
      <w:r>
        <w:t>state</w:t>
      </w:r>
      <w:proofErr w:type="gramEnd"/>
      <w:r>
        <w:t xml:space="preserve"> and federal organizations to help address identified priorities, objectives, and outcomes including; creating sustainable housing and increasing the availability/accessibility of housing. These additional funding sources are listed below.  </w:t>
      </w:r>
    </w:p>
    <w:p w14:paraId="72BBF72A" w14:textId="4C31C68F" w:rsidR="004E7119" w:rsidRPr="00A03E20" w:rsidRDefault="002A3363">
      <w:pPr>
        <w:keepNext/>
        <w:widowControl w:val="0"/>
        <w:numPr>
          <w:ilvl w:val="0"/>
          <w:numId w:val="3"/>
        </w:numPr>
        <w:spacing w:beforeAutospacing="1" w:afterAutospacing="1"/>
      </w:pPr>
      <w:r w:rsidRPr="00A03E20">
        <w:t xml:space="preserve">$    </w:t>
      </w:r>
      <w:r w:rsidR="001408A5" w:rsidRPr="00A03E20">
        <w:t>3,955,154</w:t>
      </w:r>
      <w:r w:rsidRPr="00A03E20">
        <w:t xml:space="preserve"> - State Housing Initiatives Partnership Program </w:t>
      </w:r>
    </w:p>
    <w:p w14:paraId="6E2D9CE9" w14:textId="6E146C78" w:rsidR="004E7119" w:rsidRPr="00A03E20" w:rsidRDefault="00C15E0E">
      <w:pPr>
        <w:keepNext/>
        <w:widowControl w:val="0"/>
        <w:numPr>
          <w:ilvl w:val="0"/>
          <w:numId w:val="3"/>
        </w:numPr>
        <w:spacing w:beforeAutospacing="1" w:afterAutospacing="1"/>
      </w:pPr>
      <w:r w:rsidRPr="00A03E20">
        <w:t>$1,699,128.44</w:t>
      </w:r>
      <w:r w:rsidR="002A3363" w:rsidRPr="00A03E20">
        <w:t xml:space="preserve"> - Emergency Rental Assistance 2 (ERA 2)</w:t>
      </w:r>
      <w:r w:rsidRPr="00A03E20">
        <w:t xml:space="preserve"> </w:t>
      </w:r>
    </w:p>
    <w:p w14:paraId="66E98889" w14:textId="6E661EA6" w:rsidR="004E7119" w:rsidRDefault="00C25006">
      <w:pPr>
        <w:keepNext/>
        <w:widowControl w:val="0"/>
        <w:numPr>
          <w:ilvl w:val="0"/>
          <w:numId w:val="3"/>
        </w:numPr>
        <w:spacing w:beforeAutospacing="1" w:afterAutospacing="1"/>
      </w:pPr>
      <w:r w:rsidRPr="00A03E20">
        <w:t>$2,465,222.84</w:t>
      </w:r>
      <w:r w:rsidR="002A3363" w:rsidRPr="00A03E20">
        <w:t xml:space="preserve"> - Low Income Home Energy Assistance Program </w:t>
      </w:r>
    </w:p>
    <w:p w14:paraId="6F413CE7" w14:textId="56735166" w:rsidR="003B301C" w:rsidRPr="00A03E20" w:rsidRDefault="003B301C">
      <w:pPr>
        <w:keepNext/>
        <w:widowControl w:val="0"/>
        <w:numPr>
          <w:ilvl w:val="0"/>
          <w:numId w:val="3"/>
        </w:numPr>
        <w:spacing w:beforeAutospacing="1" w:afterAutospacing="1"/>
      </w:pPr>
      <w:r>
        <w:t>$      58,787.40- Low Income Home Weatherization Assistance Program</w:t>
      </w:r>
    </w:p>
    <w:p w14:paraId="19F83124" w14:textId="4CD6E433" w:rsidR="004E7119" w:rsidRPr="00A03E20" w:rsidRDefault="002A3363">
      <w:pPr>
        <w:keepNext/>
        <w:widowControl w:val="0"/>
        <w:numPr>
          <w:ilvl w:val="0"/>
          <w:numId w:val="3"/>
        </w:numPr>
        <w:spacing w:beforeAutospacing="1" w:afterAutospacing="1"/>
      </w:pPr>
      <w:r w:rsidRPr="00A03E20">
        <w:t xml:space="preserve">$    </w:t>
      </w:r>
      <w:r w:rsidR="00C25006" w:rsidRPr="00A03E20">
        <w:t>332,840.93</w:t>
      </w:r>
      <w:r w:rsidRPr="00A03E20">
        <w:t xml:space="preserve"> - Community Services Block Grant </w:t>
      </w:r>
    </w:p>
    <w:p w14:paraId="6181DF1C" w14:textId="7E80A6B5" w:rsidR="004E7119" w:rsidRPr="00A03E20" w:rsidRDefault="002A3363">
      <w:pPr>
        <w:keepNext/>
        <w:widowControl w:val="0"/>
        <w:numPr>
          <w:ilvl w:val="0"/>
          <w:numId w:val="3"/>
        </w:numPr>
        <w:spacing w:beforeAutospacing="1" w:afterAutospacing="1"/>
      </w:pPr>
      <w:r w:rsidRPr="00A03E20">
        <w:t xml:space="preserve">$    </w:t>
      </w:r>
      <w:r w:rsidR="00C25006" w:rsidRPr="00A03E20">
        <w:t>144,869.85</w:t>
      </w:r>
      <w:r w:rsidRPr="00A03E20">
        <w:t xml:space="preserve"> - Emergency Services</w:t>
      </w:r>
    </w:p>
    <w:p w14:paraId="3DFAD790" w14:textId="567823B1" w:rsidR="00B660DE" w:rsidRPr="009E55FA" w:rsidRDefault="002A3363" w:rsidP="00B660DE">
      <w:pPr>
        <w:keepNext/>
        <w:widowControl w:val="0"/>
        <w:numPr>
          <w:ilvl w:val="0"/>
          <w:numId w:val="3"/>
        </w:numPr>
        <w:spacing w:beforeAutospacing="1" w:afterAutospacing="1"/>
      </w:pPr>
      <w:r w:rsidRPr="009E55FA">
        <w:t xml:space="preserve">$    </w:t>
      </w:r>
      <w:r w:rsidR="009E55FA" w:rsidRPr="009E55FA">
        <w:t>235,216.22</w:t>
      </w:r>
      <w:r w:rsidRPr="009E55FA">
        <w:t xml:space="preserve"> –  Weatherization Assistance Program</w:t>
      </w:r>
    </w:p>
    <w:p w14:paraId="4E591561" w14:textId="5B2C91D8" w:rsidR="004E7119" w:rsidRPr="00554657" w:rsidRDefault="004E7119" w:rsidP="00B660DE">
      <w:pPr>
        <w:keepNext/>
        <w:widowControl w:val="0"/>
        <w:spacing w:beforeAutospacing="1" w:afterAutospacing="1"/>
        <w:ind w:left="720"/>
        <w:rPr>
          <w:highlight w:val="cyan"/>
        </w:rPr>
      </w:pPr>
    </w:p>
    <w:p w14:paraId="4A960CC5" w14:textId="77777777" w:rsidR="004E7119" w:rsidRDefault="002A3363">
      <w:pPr>
        <w:keepNext/>
        <w:widowControl w:val="0"/>
        <w:spacing w:beforeAutospacing="1" w:afterAutospacing="1"/>
      </w:pPr>
      <w:r>
        <w:rPr>
          <w:b/>
        </w:rPr>
        <w:t> </w:t>
      </w:r>
    </w:p>
    <w:p w14:paraId="7974B5EF" w14:textId="77777777" w:rsidR="004E7119" w:rsidRDefault="004E7119">
      <w:pPr>
        <w:keepNext/>
        <w:widowControl w:val="0"/>
        <w:spacing w:line="204" w:lineRule="auto"/>
        <w:rPr>
          <w:b/>
          <w:sz w:val="24"/>
          <w:szCs w:val="24"/>
        </w:rPr>
      </w:pPr>
    </w:p>
    <w:p w14:paraId="0D747FE6" w14:textId="77777777" w:rsidR="004E7119" w:rsidRDefault="004E7119">
      <w:pPr>
        <w:rPr>
          <w:b/>
          <w:i/>
          <w:sz w:val="26"/>
          <w:szCs w:val="26"/>
        </w:rPr>
        <w:sectPr w:rsidR="004E7119">
          <w:headerReference w:type="even" r:id="rId8"/>
          <w:headerReference w:type="default" r:id="rId9"/>
          <w:footerReference w:type="even" r:id="rId10"/>
          <w:footerReference w:type="default" r:id="rId11"/>
          <w:headerReference w:type="first" r:id="rId12"/>
          <w:footerReference w:type="first" r:id="rId13"/>
          <w:pgSz w:w="15840" w:h="12240" w:orient="landscape"/>
          <w:pgMar w:top="1440" w:right="1440" w:bottom="1440" w:left="1440" w:header="720" w:footer="720" w:gutter="0"/>
          <w:cols w:space="720"/>
          <w:docGrid w:linePitch="360"/>
        </w:sectPr>
      </w:pPr>
    </w:p>
    <w:p w14:paraId="495B4796" w14:textId="77777777" w:rsidR="004E7119" w:rsidRDefault="002A3363">
      <w:pPr>
        <w:pStyle w:val="Heading2"/>
        <w:rPr>
          <w:rFonts w:asciiTheme="minorHAnsi" w:hAnsiTheme="minorHAnsi"/>
          <w:i w:val="0"/>
        </w:rPr>
      </w:pPr>
      <w:bookmarkStart w:id="0" w:name="_Toc309810474"/>
      <w:r>
        <w:rPr>
          <w:rFonts w:asciiTheme="minorHAnsi" w:hAnsiTheme="minorHAnsi"/>
          <w:i w:val="0"/>
        </w:rPr>
        <w:lastRenderedPageBreak/>
        <w:t>CR-10 - Racial and Ethnic composition of families assisted</w:t>
      </w:r>
    </w:p>
    <w:p w14:paraId="4DD625B3" w14:textId="77777777" w:rsidR="004E7119" w:rsidRDefault="002A3363">
      <w:pPr>
        <w:keepNext/>
        <w:widowControl w:val="0"/>
        <w:rPr>
          <w:b/>
          <w:sz w:val="24"/>
          <w:szCs w:val="24"/>
        </w:rPr>
      </w:pPr>
      <w:r>
        <w:rPr>
          <w:b/>
          <w:sz w:val="24"/>
          <w:szCs w:val="24"/>
        </w:rPr>
        <w:t xml:space="preserve">Describe the families assisted (including the racial and ethnic status of families assisted). 91.520(a) </w:t>
      </w:r>
    </w:p>
    <w:p w14:paraId="2B71268F" w14:textId="77777777" w:rsidR="004E7119" w:rsidRDefault="004E7119">
      <w:pPr>
        <w:widowControl w:val="0"/>
        <w:spacing w:after="0" w:line="240" w:lineRule="auto"/>
        <w:rPr>
          <w:b/>
          <w:vanish/>
          <w:sz w:val="24"/>
          <w:szCs w:val="24"/>
        </w:rPr>
      </w:pPr>
    </w:p>
    <w:p w14:paraId="2EE11052" w14:textId="77777777" w:rsidR="004E7119" w:rsidRDefault="004E7119">
      <w:pPr>
        <w:pStyle w:val="NoSpacing"/>
        <w:rPr>
          <w:vanish/>
        </w:rPr>
      </w:pPr>
    </w:p>
    <w:p w14:paraId="0B3BE180" w14:textId="77777777" w:rsidR="004E7119" w:rsidRDefault="004E7119">
      <w:pPr>
        <w:pStyle w:val="NoSpacing"/>
        <w:rPr>
          <w:vanish/>
        </w:rPr>
      </w:pPr>
    </w:p>
    <w:p w14:paraId="13469876" w14:textId="77777777" w:rsidR="004E7119" w:rsidRDefault="004E7119">
      <w:pPr>
        <w:pStyle w:val="NoSpacing"/>
        <w:rPr>
          <w:vanish/>
        </w:rPr>
      </w:pPr>
    </w:p>
    <w:p w14:paraId="165399BF" w14:textId="77777777" w:rsidR="004E7119" w:rsidRDefault="004E7119">
      <w:pPr>
        <w:pStyle w:val="NoSpacing"/>
        <w:rPr>
          <w:vanish/>
        </w:rPr>
      </w:pPr>
    </w:p>
    <w:p w14:paraId="203DF4AD" w14:textId="77777777" w:rsidR="004E7119" w:rsidRDefault="004E7119">
      <w:pPr>
        <w:pStyle w:val="NoSpacing"/>
        <w:rPr>
          <w:vanish/>
        </w:rPr>
      </w:pPr>
    </w:p>
    <w:p w14:paraId="03E064D9" w14:textId="77777777" w:rsidR="004E7119" w:rsidRDefault="004E7119">
      <w:pPr>
        <w:pStyle w:val="NoSpacing"/>
        <w:rPr>
          <w:vanish/>
        </w:rPr>
      </w:pPr>
    </w:p>
    <w:p w14:paraId="52897DB2" w14:textId="77777777" w:rsidR="004E7119" w:rsidRDefault="004E7119">
      <w:pPr>
        <w:pStyle w:val="NoSpacing"/>
        <w:rPr>
          <w:vanish/>
        </w:rPr>
      </w:pPr>
    </w:p>
    <w:p w14:paraId="7FA7FD96" w14:textId="77777777" w:rsidR="004E7119" w:rsidRDefault="004E7119">
      <w:pPr>
        <w:pStyle w:val="NoSpacing"/>
        <w:rPr>
          <w:vanish/>
        </w:rPr>
      </w:pPr>
    </w:p>
    <w:p w14:paraId="6AB86138" w14:textId="77777777" w:rsidR="004E7119" w:rsidRDefault="004E7119">
      <w:pPr>
        <w:pStyle w:val="NoSpacing"/>
        <w:rPr>
          <w:vanish/>
        </w:rPr>
      </w:pPr>
    </w:p>
    <w:tbl>
      <w:tblPr>
        <w:tblW w:w="4176"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707"/>
        <w:gridCol w:w="1551"/>
        <w:gridCol w:w="1551"/>
      </w:tblGrid>
      <w:tr w:rsidR="004E7119" w:rsidRPr="00E10D90" w14:paraId="1C172E40" w14:textId="77777777">
        <w:trPr>
          <w:cantSplit/>
        </w:trPr>
        <w:tc>
          <w:tcPr>
            <w:tcW w:w="3009" w:type="pct"/>
          </w:tcPr>
          <w:p w14:paraId="3E7699C1" w14:textId="77777777" w:rsidR="004E7119" w:rsidRDefault="004E7119">
            <w:pPr>
              <w:spacing w:after="0"/>
              <w:rPr>
                <w:b/>
              </w:rPr>
            </w:pPr>
          </w:p>
        </w:tc>
        <w:tc>
          <w:tcPr>
            <w:tcW w:w="992" w:type="pct"/>
          </w:tcPr>
          <w:p w14:paraId="66F556FB" w14:textId="77777777" w:rsidR="004E7119" w:rsidRPr="00E10D90" w:rsidRDefault="002A3363">
            <w:pPr>
              <w:spacing w:after="0"/>
              <w:jc w:val="center"/>
              <w:rPr>
                <w:b/>
              </w:rPr>
            </w:pPr>
            <w:r w:rsidRPr="00E10D90">
              <w:rPr>
                <w:b/>
              </w:rPr>
              <w:t>CDBG</w:t>
            </w:r>
          </w:p>
        </w:tc>
        <w:tc>
          <w:tcPr>
            <w:tcW w:w="992" w:type="pct"/>
          </w:tcPr>
          <w:p w14:paraId="6D16BB2A" w14:textId="77777777" w:rsidR="004E7119" w:rsidRPr="00E10D90" w:rsidRDefault="002A3363">
            <w:pPr>
              <w:spacing w:after="0"/>
              <w:jc w:val="center"/>
              <w:rPr>
                <w:b/>
              </w:rPr>
            </w:pPr>
            <w:r w:rsidRPr="00E10D90">
              <w:rPr>
                <w:b/>
              </w:rPr>
              <w:t>HOME</w:t>
            </w:r>
          </w:p>
        </w:tc>
      </w:tr>
      <w:tr w:rsidR="004E7119" w:rsidRPr="00E10D90" w14:paraId="492761E3" w14:textId="77777777">
        <w:trPr>
          <w:cantSplit/>
        </w:trPr>
        <w:tc>
          <w:tcPr>
            <w:tcW w:w="4821" w:type="dxa"/>
            <w:vAlign w:val="bottom"/>
          </w:tcPr>
          <w:p w14:paraId="4056079F" w14:textId="77777777" w:rsidR="004E7119" w:rsidRPr="00E10D90" w:rsidRDefault="002A3363">
            <w:pPr>
              <w:spacing w:beforeAutospacing="1" w:afterAutospacing="1"/>
            </w:pPr>
            <w:r w:rsidRPr="00E10D90">
              <w:rPr>
                <w:color w:val="000000"/>
              </w:rPr>
              <w:t>White</w:t>
            </w:r>
          </w:p>
        </w:tc>
        <w:tc>
          <w:tcPr>
            <w:tcW w:w="1589" w:type="dxa"/>
            <w:vAlign w:val="bottom"/>
          </w:tcPr>
          <w:p w14:paraId="3F6F2558" w14:textId="46A55030" w:rsidR="004E7119" w:rsidRPr="00E10D90" w:rsidRDefault="00CE39DC">
            <w:pPr>
              <w:spacing w:beforeAutospacing="1" w:afterAutospacing="1"/>
              <w:jc w:val="right"/>
            </w:pPr>
            <w:r w:rsidRPr="00E10D90">
              <w:rPr>
                <w:color w:val="000000"/>
              </w:rPr>
              <w:t>7</w:t>
            </w:r>
            <w:r w:rsidR="00E10D90">
              <w:rPr>
                <w:color w:val="000000"/>
              </w:rPr>
              <w:t>0</w:t>
            </w:r>
            <w:r w:rsidRPr="00E10D90">
              <w:rPr>
                <w:color w:val="000000"/>
              </w:rPr>
              <w:t>6</w:t>
            </w:r>
          </w:p>
        </w:tc>
        <w:tc>
          <w:tcPr>
            <w:tcW w:w="1589" w:type="dxa"/>
            <w:vAlign w:val="bottom"/>
          </w:tcPr>
          <w:p w14:paraId="25F87EDB" w14:textId="08D16FBA" w:rsidR="004E7119" w:rsidRPr="00E10D90" w:rsidRDefault="00171CA8">
            <w:pPr>
              <w:spacing w:beforeAutospacing="1" w:afterAutospacing="1"/>
              <w:jc w:val="right"/>
            </w:pPr>
            <w:r w:rsidRPr="00E10D90">
              <w:rPr>
                <w:color w:val="000000"/>
              </w:rPr>
              <w:t>4</w:t>
            </w:r>
          </w:p>
        </w:tc>
      </w:tr>
      <w:tr w:rsidR="004E7119" w:rsidRPr="00E10D90" w14:paraId="4BD9C797" w14:textId="77777777">
        <w:trPr>
          <w:cantSplit/>
        </w:trPr>
        <w:tc>
          <w:tcPr>
            <w:tcW w:w="4821" w:type="dxa"/>
            <w:vAlign w:val="bottom"/>
          </w:tcPr>
          <w:p w14:paraId="06E32280" w14:textId="77777777" w:rsidR="004E7119" w:rsidRPr="00E10D90" w:rsidRDefault="002A3363">
            <w:pPr>
              <w:spacing w:beforeAutospacing="1" w:afterAutospacing="1"/>
            </w:pPr>
            <w:r w:rsidRPr="00E10D90">
              <w:rPr>
                <w:color w:val="000000"/>
              </w:rPr>
              <w:t>Black or African American</w:t>
            </w:r>
          </w:p>
        </w:tc>
        <w:tc>
          <w:tcPr>
            <w:tcW w:w="1589" w:type="dxa"/>
            <w:vAlign w:val="bottom"/>
          </w:tcPr>
          <w:p w14:paraId="52AF4497" w14:textId="082526F1" w:rsidR="004E7119" w:rsidRPr="00E10D90" w:rsidRDefault="00E10D90">
            <w:pPr>
              <w:spacing w:beforeAutospacing="1" w:afterAutospacing="1"/>
              <w:jc w:val="right"/>
            </w:pPr>
            <w:r>
              <w:rPr>
                <w:color w:val="000000"/>
              </w:rPr>
              <w:t>530</w:t>
            </w:r>
          </w:p>
        </w:tc>
        <w:tc>
          <w:tcPr>
            <w:tcW w:w="1589" w:type="dxa"/>
            <w:vAlign w:val="bottom"/>
          </w:tcPr>
          <w:p w14:paraId="28E7489F" w14:textId="6D44529B" w:rsidR="004E7119" w:rsidRPr="00E10D90" w:rsidRDefault="00C977FF">
            <w:pPr>
              <w:spacing w:beforeAutospacing="1" w:afterAutospacing="1"/>
              <w:jc w:val="right"/>
            </w:pPr>
            <w:r w:rsidRPr="00E10D90">
              <w:rPr>
                <w:color w:val="000000"/>
              </w:rPr>
              <w:t>7</w:t>
            </w:r>
          </w:p>
        </w:tc>
      </w:tr>
      <w:tr w:rsidR="004E7119" w:rsidRPr="00E10D90" w14:paraId="4AE5152A" w14:textId="77777777">
        <w:trPr>
          <w:cantSplit/>
        </w:trPr>
        <w:tc>
          <w:tcPr>
            <w:tcW w:w="4821" w:type="dxa"/>
            <w:vAlign w:val="bottom"/>
          </w:tcPr>
          <w:p w14:paraId="7CCABECC" w14:textId="77777777" w:rsidR="004E7119" w:rsidRPr="00E10D90" w:rsidRDefault="002A3363">
            <w:pPr>
              <w:spacing w:beforeAutospacing="1" w:afterAutospacing="1"/>
            </w:pPr>
            <w:r w:rsidRPr="00E10D90">
              <w:rPr>
                <w:color w:val="000000"/>
              </w:rPr>
              <w:t>Asian</w:t>
            </w:r>
          </w:p>
        </w:tc>
        <w:tc>
          <w:tcPr>
            <w:tcW w:w="1589" w:type="dxa"/>
            <w:vAlign w:val="bottom"/>
          </w:tcPr>
          <w:p w14:paraId="09069B3D" w14:textId="6531366C" w:rsidR="004E7119" w:rsidRPr="00E10D90" w:rsidRDefault="00E10D90">
            <w:pPr>
              <w:spacing w:beforeAutospacing="1" w:afterAutospacing="1"/>
              <w:jc w:val="right"/>
            </w:pPr>
            <w:r>
              <w:rPr>
                <w:color w:val="000000"/>
              </w:rPr>
              <w:t>4</w:t>
            </w:r>
          </w:p>
        </w:tc>
        <w:tc>
          <w:tcPr>
            <w:tcW w:w="1589" w:type="dxa"/>
            <w:vAlign w:val="bottom"/>
          </w:tcPr>
          <w:p w14:paraId="5D7E21D7" w14:textId="77777777" w:rsidR="004E7119" w:rsidRPr="00E10D90" w:rsidRDefault="002A3363">
            <w:pPr>
              <w:spacing w:beforeAutospacing="1" w:afterAutospacing="1"/>
              <w:jc w:val="right"/>
            </w:pPr>
            <w:r w:rsidRPr="00E10D90">
              <w:rPr>
                <w:color w:val="000000"/>
              </w:rPr>
              <w:t>0</w:t>
            </w:r>
          </w:p>
        </w:tc>
      </w:tr>
      <w:tr w:rsidR="004E7119" w:rsidRPr="00E10D90" w14:paraId="1BBEB3E6" w14:textId="77777777">
        <w:trPr>
          <w:cantSplit/>
        </w:trPr>
        <w:tc>
          <w:tcPr>
            <w:tcW w:w="4821" w:type="dxa"/>
            <w:vAlign w:val="bottom"/>
          </w:tcPr>
          <w:p w14:paraId="5169C0DA" w14:textId="77777777" w:rsidR="004E7119" w:rsidRPr="00E10D90" w:rsidRDefault="002A3363">
            <w:pPr>
              <w:spacing w:beforeAutospacing="1" w:afterAutospacing="1"/>
            </w:pPr>
            <w:r w:rsidRPr="00E10D90">
              <w:rPr>
                <w:color w:val="000000"/>
              </w:rPr>
              <w:t>American Indian or American Native</w:t>
            </w:r>
          </w:p>
        </w:tc>
        <w:tc>
          <w:tcPr>
            <w:tcW w:w="1589" w:type="dxa"/>
            <w:vAlign w:val="bottom"/>
          </w:tcPr>
          <w:p w14:paraId="611847CE" w14:textId="2AEAFBE6" w:rsidR="004E7119" w:rsidRPr="00E10D90" w:rsidRDefault="00E10D90">
            <w:pPr>
              <w:spacing w:beforeAutospacing="1" w:afterAutospacing="1"/>
              <w:jc w:val="right"/>
            </w:pPr>
            <w:r>
              <w:rPr>
                <w:color w:val="000000"/>
              </w:rPr>
              <w:t>15</w:t>
            </w:r>
          </w:p>
        </w:tc>
        <w:tc>
          <w:tcPr>
            <w:tcW w:w="1589" w:type="dxa"/>
            <w:vAlign w:val="bottom"/>
          </w:tcPr>
          <w:p w14:paraId="7B879727" w14:textId="77777777" w:rsidR="004E7119" w:rsidRPr="00E10D90" w:rsidRDefault="002A3363">
            <w:pPr>
              <w:spacing w:beforeAutospacing="1" w:afterAutospacing="1"/>
              <w:jc w:val="right"/>
            </w:pPr>
            <w:r w:rsidRPr="00E10D90">
              <w:rPr>
                <w:color w:val="000000"/>
              </w:rPr>
              <w:t>0</w:t>
            </w:r>
          </w:p>
        </w:tc>
      </w:tr>
      <w:tr w:rsidR="004E7119" w:rsidRPr="00E10D90" w14:paraId="39943BFD" w14:textId="77777777">
        <w:trPr>
          <w:cantSplit/>
        </w:trPr>
        <w:tc>
          <w:tcPr>
            <w:tcW w:w="4821" w:type="dxa"/>
            <w:vAlign w:val="bottom"/>
          </w:tcPr>
          <w:p w14:paraId="7E08346D" w14:textId="3C9B1240" w:rsidR="004E7119" w:rsidRPr="00E10D90" w:rsidRDefault="002A3363">
            <w:pPr>
              <w:spacing w:beforeAutospacing="1" w:afterAutospacing="1"/>
            </w:pPr>
            <w:r w:rsidRPr="00E10D90">
              <w:rPr>
                <w:color w:val="000000"/>
              </w:rPr>
              <w:t xml:space="preserve">Native Hawaiian or Other </w:t>
            </w:r>
          </w:p>
        </w:tc>
        <w:tc>
          <w:tcPr>
            <w:tcW w:w="1589" w:type="dxa"/>
            <w:vAlign w:val="bottom"/>
          </w:tcPr>
          <w:p w14:paraId="1BD02A71" w14:textId="728B2698" w:rsidR="004E7119" w:rsidRPr="00E10D90" w:rsidRDefault="00E10D90">
            <w:pPr>
              <w:spacing w:beforeAutospacing="1" w:afterAutospacing="1"/>
              <w:jc w:val="right"/>
            </w:pPr>
            <w:r>
              <w:rPr>
                <w:color w:val="000000"/>
              </w:rPr>
              <w:t>6</w:t>
            </w:r>
          </w:p>
        </w:tc>
        <w:tc>
          <w:tcPr>
            <w:tcW w:w="1589" w:type="dxa"/>
            <w:vAlign w:val="bottom"/>
          </w:tcPr>
          <w:p w14:paraId="1BF8F9CF" w14:textId="188680CF" w:rsidR="004E7119" w:rsidRPr="00E10D90" w:rsidRDefault="00171CA8">
            <w:pPr>
              <w:spacing w:beforeAutospacing="1" w:afterAutospacing="1"/>
              <w:jc w:val="right"/>
            </w:pPr>
            <w:r w:rsidRPr="00E10D90">
              <w:t>1</w:t>
            </w:r>
          </w:p>
        </w:tc>
      </w:tr>
    </w:tbl>
    <w:p w14:paraId="06CE1ED2" w14:textId="77777777" w:rsidR="004E7119" w:rsidRPr="00E10D90" w:rsidRDefault="004E7119">
      <w:pPr>
        <w:pStyle w:val="NoSpacing"/>
        <w:rPr>
          <w:vanish/>
        </w:rPr>
      </w:pPr>
    </w:p>
    <w:tbl>
      <w:tblPr>
        <w:tblW w:w="4176"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707"/>
        <w:gridCol w:w="1551"/>
        <w:gridCol w:w="1551"/>
      </w:tblGrid>
      <w:tr w:rsidR="004E7119" w:rsidRPr="00E10D90" w14:paraId="79F73571" w14:textId="77777777">
        <w:trPr>
          <w:cantSplit/>
          <w:hidden/>
        </w:trPr>
        <w:tc>
          <w:tcPr>
            <w:tcW w:w="3009" w:type="pct"/>
          </w:tcPr>
          <w:p w14:paraId="2C8123D3" w14:textId="77777777" w:rsidR="004E7119" w:rsidRPr="00E10D90" w:rsidRDefault="004E7119">
            <w:pPr>
              <w:keepNext/>
              <w:widowControl w:val="0"/>
              <w:spacing w:after="0" w:line="240" w:lineRule="auto"/>
              <w:rPr>
                <w:vanish/>
              </w:rPr>
            </w:pPr>
          </w:p>
        </w:tc>
        <w:tc>
          <w:tcPr>
            <w:tcW w:w="992" w:type="pct"/>
          </w:tcPr>
          <w:p w14:paraId="71481EB4" w14:textId="77777777" w:rsidR="004E7119" w:rsidRPr="00E10D90" w:rsidRDefault="004E7119">
            <w:pPr>
              <w:keepNext/>
              <w:widowControl w:val="0"/>
              <w:spacing w:after="0" w:line="240" w:lineRule="auto"/>
              <w:jc w:val="center"/>
              <w:rPr>
                <w:b/>
                <w:vanish/>
              </w:rPr>
            </w:pPr>
          </w:p>
        </w:tc>
        <w:tc>
          <w:tcPr>
            <w:tcW w:w="992" w:type="pct"/>
          </w:tcPr>
          <w:p w14:paraId="76CEE369" w14:textId="77777777" w:rsidR="004E7119" w:rsidRPr="00E10D90" w:rsidRDefault="004E7119">
            <w:pPr>
              <w:keepNext/>
              <w:widowControl w:val="0"/>
              <w:spacing w:after="0" w:line="240" w:lineRule="auto"/>
              <w:jc w:val="center"/>
              <w:rPr>
                <w:b/>
                <w:vanish/>
              </w:rPr>
            </w:pPr>
          </w:p>
        </w:tc>
      </w:tr>
      <w:tr w:rsidR="004E7119" w:rsidRPr="00E10D90" w14:paraId="439851C9" w14:textId="77777777">
        <w:trPr>
          <w:cantSplit/>
        </w:trPr>
        <w:tc>
          <w:tcPr>
            <w:tcW w:w="4821" w:type="dxa"/>
            <w:vAlign w:val="bottom"/>
          </w:tcPr>
          <w:p w14:paraId="1BCA2B76" w14:textId="77777777" w:rsidR="004E7119" w:rsidRPr="00E10D90" w:rsidRDefault="002A3363">
            <w:pPr>
              <w:spacing w:beforeAutospacing="1" w:afterAutospacing="1"/>
            </w:pPr>
            <w:r w:rsidRPr="00E10D90">
              <w:rPr>
                <w:b/>
                <w:color w:val="000000"/>
              </w:rPr>
              <w:t>Total</w:t>
            </w:r>
          </w:p>
        </w:tc>
        <w:tc>
          <w:tcPr>
            <w:tcW w:w="1589" w:type="dxa"/>
            <w:vAlign w:val="bottom"/>
          </w:tcPr>
          <w:p w14:paraId="35F207A3" w14:textId="632624B3" w:rsidR="004E7119" w:rsidRPr="00E10D90" w:rsidRDefault="002A3363">
            <w:pPr>
              <w:spacing w:beforeAutospacing="1" w:afterAutospacing="1"/>
              <w:jc w:val="right"/>
            </w:pPr>
            <w:r w:rsidRPr="00E10D90">
              <w:rPr>
                <w:b/>
                <w:color w:val="000000"/>
              </w:rPr>
              <w:t>1,</w:t>
            </w:r>
            <w:r w:rsidR="00E10D90">
              <w:rPr>
                <w:b/>
                <w:color w:val="000000"/>
              </w:rPr>
              <w:t>261</w:t>
            </w:r>
          </w:p>
        </w:tc>
        <w:tc>
          <w:tcPr>
            <w:tcW w:w="1589" w:type="dxa"/>
            <w:vAlign w:val="bottom"/>
          </w:tcPr>
          <w:p w14:paraId="211BD3C8" w14:textId="2698E36F" w:rsidR="004E7119" w:rsidRPr="00E10D90" w:rsidRDefault="002A3363">
            <w:pPr>
              <w:spacing w:beforeAutospacing="1" w:afterAutospacing="1"/>
              <w:jc w:val="right"/>
            </w:pPr>
            <w:r w:rsidRPr="00E10D90">
              <w:rPr>
                <w:b/>
                <w:color w:val="000000"/>
              </w:rPr>
              <w:t>1</w:t>
            </w:r>
            <w:r w:rsidR="00C977FF" w:rsidRPr="00E10D90">
              <w:rPr>
                <w:b/>
                <w:color w:val="000000"/>
              </w:rPr>
              <w:t>2</w:t>
            </w:r>
          </w:p>
        </w:tc>
      </w:tr>
    </w:tbl>
    <w:p w14:paraId="4586535A" w14:textId="77777777" w:rsidR="004E7119" w:rsidRPr="00E10D90" w:rsidRDefault="004E7119">
      <w:pPr>
        <w:pStyle w:val="NoSpacing"/>
        <w:rPr>
          <w:vanish/>
        </w:rPr>
      </w:pPr>
    </w:p>
    <w:tbl>
      <w:tblPr>
        <w:tblW w:w="4176"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707"/>
        <w:gridCol w:w="1551"/>
        <w:gridCol w:w="1551"/>
      </w:tblGrid>
      <w:tr w:rsidR="004E7119" w:rsidRPr="00E10D90" w14:paraId="5A592F2A" w14:textId="77777777">
        <w:trPr>
          <w:cantSplit/>
          <w:hidden/>
        </w:trPr>
        <w:tc>
          <w:tcPr>
            <w:tcW w:w="3009" w:type="pct"/>
          </w:tcPr>
          <w:p w14:paraId="4D387A89" w14:textId="77777777" w:rsidR="004E7119" w:rsidRPr="00E10D90" w:rsidRDefault="004E7119">
            <w:pPr>
              <w:keepNext/>
              <w:widowControl w:val="0"/>
              <w:spacing w:after="0" w:line="240" w:lineRule="auto"/>
              <w:rPr>
                <w:vanish/>
              </w:rPr>
            </w:pPr>
          </w:p>
        </w:tc>
        <w:tc>
          <w:tcPr>
            <w:tcW w:w="992" w:type="pct"/>
          </w:tcPr>
          <w:p w14:paraId="0AC1C79E" w14:textId="77777777" w:rsidR="004E7119" w:rsidRPr="00E10D90" w:rsidRDefault="004E7119">
            <w:pPr>
              <w:keepNext/>
              <w:widowControl w:val="0"/>
              <w:spacing w:after="0" w:line="240" w:lineRule="auto"/>
              <w:jc w:val="center"/>
              <w:rPr>
                <w:b/>
                <w:vanish/>
              </w:rPr>
            </w:pPr>
          </w:p>
        </w:tc>
        <w:tc>
          <w:tcPr>
            <w:tcW w:w="992" w:type="pct"/>
          </w:tcPr>
          <w:p w14:paraId="4713B6D0" w14:textId="77777777" w:rsidR="004E7119" w:rsidRPr="00E10D90" w:rsidRDefault="004E7119">
            <w:pPr>
              <w:keepNext/>
              <w:widowControl w:val="0"/>
              <w:spacing w:after="0" w:line="240" w:lineRule="auto"/>
              <w:jc w:val="center"/>
              <w:rPr>
                <w:b/>
                <w:vanish/>
              </w:rPr>
            </w:pPr>
          </w:p>
        </w:tc>
      </w:tr>
      <w:tr w:rsidR="004E7119" w:rsidRPr="00E10D90" w14:paraId="195CBBB9" w14:textId="77777777">
        <w:trPr>
          <w:cantSplit/>
        </w:trPr>
        <w:tc>
          <w:tcPr>
            <w:tcW w:w="4821" w:type="dxa"/>
            <w:vAlign w:val="bottom"/>
          </w:tcPr>
          <w:p w14:paraId="2A7343CA" w14:textId="77777777" w:rsidR="004E7119" w:rsidRPr="00E10D90" w:rsidRDefault="002A3363">
            <w:pPr>
              <w:spacing w:beforeAutospacing="1" w:afterAutospacing="1"/>
            </w:pPr>
            <w:r w:rsidRPr="00E10D90">
              <w:rPr>
                <w:color w:val="000000"/>
              </w:rPr>
              <w:t>Hispanic</w:t>
            </w:r>
          </w:p>
        </w:tc>
        <w:tc>
          <w:tcPr>
            <w:tcW w:w="1589" w:type="dxa"/>
            <w:vAlign w:val="bottom"/>
          </w:tcPr>
          <w:p w14:paraId="22FC5495" w14:textId="0682AF2A" w:rsidR="004E7119" w:rsidRPr="00E10D90" w:rsidRDefault="00E10D90">
            <w:pPr>
              <w:spacing w:beforeAutospacing="1" w:afterAutospacing="1"/>
              <w:jc w:val="right"/>
            </w:pPr>
            <w:r>
              <w:rPr>
                <w:color w:val="000000"/>
              </w:rPr>
              <w:t>132</w:t>
            </w:r>
          </w:p>
        </w:tc>
        <w:tc>
          <w:tcPr>
            <w:tcW w:w="1589" w:type="dxa"/>
            <w:vAlign w:val="bottom"/>
          </w:tcPr>
          <w:p w14:paraId="45459472" w14:textId="77777777" w:rsidR="004E7119" w:rsidRPr="00E10D90" w:rsidRDefault="002A3363">
            <w:pPr>
              <w:spacing w:beforeAutospacing="1" w:afterAutospacing="1"/>
              <w:jc w:val="right"/>
            </w:pPr>
            <w:r w:rsidRPr="00E10D90">
              <w:rPr>
                <w:color w:val="000000"/>
              </w:rPr>
              <w:t>0</w:t>
            </w:r>
          </w:p>
        </w:tc>
      </w:tr>
      <w:tr w:rsidR="004E7119" w14:paraId="2EC0DE76" w14:textId="77777777">
        <w:trPr>
          <w:cantSplit/>
        </w:trPr>
        <w:tc>
          <w:tcPr>
            <w:tcW w:w="4821" w:type="dxa"/>
            <w:vAlign w:val="bottom"/>
          </w:tcPr>
          <w:p w14:paraId="159A67AD" w14:textId="77777777" w:rsidR="004E7119" w:rsidRPr="00E10D90" w:rsidRDefault="002A3363">
            <w:pPr>
              <w:spacing w:beforeAutospacing="1" w:afterAutospacing="1"/>
            </w:pPr>
            <w:r w:rsidRPr="00E10D90">
              <w:rPr>
                <w:color w:val="000000"/>
              </w:rPr>
              <w:t>Not Hispanic</w:t>
            </w:r>
          </w:p>
        </w:tc>
        <w:tc>
          <w:tcPr>
            <w:tcW w:w="1589" w:type="dxa"/>
            <w:vAlign w:val="bottom"/>
          </w:tcPr>
          <w:p w14:paraId="5F88058D" w14:textId="1CA98569" w:rsidR="004E7119" w:rsidRPr="00E10D90" w:rsidRDefault="002A3363">
            <w:pPr>
              <w:spacing w:beforeAutospacing="1" w:afterAutospacing="1"/>
              <w:jc w:val="right"/>
            </w:pPr>
            <w:r w:rsidRPr="00E10D90">
              <w:rPr>
                <w:color w:val="000000"/>
              </w:rPr>
              <w:t>1,</w:t>
            </w:r>
            <w:r w:rsidR="00E10D90">
              <w:rPr>
                <w:color w:val="000000"/>
              </w:rPr>
              <w:t>254</w:t>
            </w:r>
          </w:p>
        </w:tc>
        <w:tc>
          <w:tcPr>
            <w:tcW w:w="1589" w:type="dxa"/>
            <w:vAlign w:val="bottom"/>
          </w:tcPr>
          <w:p w14:paraId="0049EAC9" w14:textId="5E45B5C6" w:rsidR="004E7119" w:rsidRDefault="002A3363">
            <w:pPr>
              <w:spacing w:beforeAutospacing="1" w:afterAutospacing="1"/>
              <w:jc w:val="right"/>
            </w:pPr>
            <w:r w:rsidRPr="00E10D90">
              <w:rPr>
                <w:color w:val="000000"/>
              </w:rPr>
              <w:t>1</w:t>
            </w:r>
            <w:r w:rsidR="00C977FF" w:rsidRPr="00E10D90">
              <w:rPr>
                <w:color w:val="000000"/>
              </w:rPr>
              <w:t>2</w:t>
            </w:r>
          </w:p>
        </w:tc>
      </w:tr>
    </w:tbl>
    <w:p w14:paraId="38232C9C" w14:textId="77777777" w:rsidR="004E7119" w:rsidRDefault="004E7119">
      <w:pPr>
        <w:pStyle w:val="NoSpacing"/>
        <w:rPr>
          <w:vanish/>
        </w:rPr>
      </w:pPr>
    </w:p>
    <w:p w14:paraId="3873396F" w14:textId="77777777" w:rsidR="004E7119" w:rsidRDefault="004E7119">
      <w:pPr>
        <w:pStyle w:val="NoSpacing"/>
        <w:rPr>
          <w:vanish/>
        </w:rPr>
      </w:pPr>
    </w:p>
    <w:p w14:paraId="376F2C38" w14:textId="77777777" w:rsidR="004E7119" w:rsidRDefault="004E7119">
      <w:pPr>
        <w:pStyle w:val="NoSpacing"/>
        <w:rPr>
          <w:vanish/>
        </w:rPr>
      </w:pPr>
    </w:p>
    <w:p w14:paraId="3F003277" w14:textId="77777777" w:rsidR="004E7119" w:rsidRDefault="004E7119">
      <w:pPr>
        <w:pStyle w:val="NoSpacing"/>
        <w:rPr>
          <w:vanish/>
        </w:rPr>
      </w:pPr>
    </w:p>
    <w:p w14:paraId="059CDC12" w14:textId="77777777" w:rsidR="004E7119" w:rsidRDefault="004E7119">
      <w:pPr>
        <w:pStyle w:val="NoSpacing"/>
        <w:rPr>
          <w:vanish/>
        </w:rPr>
      </w:pPr>
    </w:p>
    <w:p w14:paraId="6DB35409" w14:textId="77777777" w:rsidR="004E7119" w:rsidRDefault="004E7119">
      <w:pPr>
        <w:pStyle w:val="NoSpacing"/>
      </w:pPr>
    </w:p>
    <w:p w14:paraId="13ABD1A3" w14:textId="77777777" w:rsidR="004E7119" w:rsidRDefault="004E7119">
      <w:pPr>
        <w:pStyle w:val="NoSpacing"/>
        <w:rPr>
          <w:vanish/>
        </w:rPr>
      </w:pPr>
    </w:p>
    <w:p w14:paraId="41961123" w14:textId="77777777" w:rsidR="004E7119" w:rsidRDefault="004E7119">
      <w:pPr>
        <w:pStyle w:val="NoSpacing"/>
        <w:rPr>
          <w:vanish/>
        </w:rPr>
      </w:pPr>
    </w:p>
    <w:p w14:paraId="351C4B06" w14:textId="77777777" w:rsidR="004E7119" w:rsidRDefault="004E7119">
      <w:pPr>
        <w:pStyle w:val="NoSpacing"/>
        <w:rPr>
          <w:vanish/>
        </w:rPr>
      </w:pPr>
    </w:p>
    <w:p w14:paraId="197700D2" w14:textId="77777777" w:rsidR="004E7119" w:rsidRDefault="004E7119">
      <w:pPr>
        <w:pStyle w:val="NoSpacing"/>
        <w:rPr>
          <w:vanish/>
        </w:rPr>
      </w:pPr>
    </w:p>
    <w:p w14:paraId="05673163" w14:textId="77777777" w:rsidR="004E7119" w:rsidRDefault="004E7119">
      <w:pPr>
        <w:pStyle w:val="NoSpacing"/>
        <w:rPr>
          <w:vanish/>
        </w:rPr>
      </w:pPr>
    </w:p>
    <w:p w14:paraId="62DE662C" w14:textId="77777777" w:rsidR="004E7119" w:rsidRDefault="004E7119">
      <w:pPr>
        <w:pStyle w:val="NoSpacing"/>
        <w:rPr>
          <w:vanish/>
        </w:rPr>
      </w:pPr>
    </w:p>
    <w:p w14:paraId="0902A391" w14:textId="77777777" w:rsidR="004E7119" w:rsidRDefault="004E7119">
      <w:pPr>
        <w:pStyle w:val="NoSpacing"/>
        <w:rPr>
          <w:vanish/>
        </w:rPr>
      </w:pPr>
    </w:p>
    <w:p w14:paraId="4549B5A3" w14:textId="77777777" w:rsidR="004E7119" w:rsidRDefault="004E7119">
      <w:pPr>
        <w:pStyle w:val="NoSpacing"/>
        <w:rPr>
          <w:vanish/>
        </w:rPr>
      </w:pPr>
    </w:p>
    <w:p w14:paraId="37C9FE64" w14:textId="77777777" w:rsidR="004E7119" w:rsidRDefault="004E7119">
      <w:pPr>
        <w:pStyle w:val="NoSpacing"/>
        <w:rPr>
          <w:vanish/>
        </w:rPr>
      </w:pPr>
    </w:p>
    <w:p w14:paraId="5B310371" w14:textId="77777777" w:rsidR="004E7119" w:rsidRDefault="004E7119">
      <w:pPr>
        <w:pStyle w:val="NoSpacing"/>
        <w:rPr>
          <w:vanish/>
        </w:rPr>
      </w:pPr>
    </w:p>
    <w:p w14:paraId="025DD9F9" w14:textId="77777777" w:rsidR="004E7119" w:rsidRDefault="004E7119">
      <w:pPr>
        <w:keepNext/>
        <w:widowControl w:val="0"/>
        <w:spacing w:after="0" w:line="240" w:lineRule="auto"/>
        <w:rPr>
          <w:b/>
          <w:vanish/>
          <w:sz w:val="24"/>
          <w:szCs w:val="24"/>
        </w:rPr>
      </w:pPr>
    </w:p>
    <w:p w14:paraId="657FE9B7" w14:textId="77777777" w:rsidR="004E7119" w:rsidRDefault="004E7119">
      <w:pPr>
        <w:pStyle w:val="NoSpacing"/>
        <w:rPr>
          <w:vanish/>
        </w:rPr>
      </w:pPr>
    </w:p>
    <w:p w14:paraId="7735FD87" w14:textId="77777777" w:rsidR="004E7119" w:rsidRDefault="004E7119">
      <w:pPr>
        <w:pStyle w:val="NoSpacing"/>
        <w:rPr>
          <w:vanish/>
        </w:rPr>
      </w:pPr>
    </w:p>
    <w:p w14:paraId="6D4C1209" w14:textId="77777777" w:rsidR="004E7119" w:rsidRDefault="004E7119">
      <w:pPr>
        <w:pStyle w:val="NoSpacing"/>
        <w:rPr>
          <w:vanish/>
        </w:rPr>
      </w:pPr>
    </w:p>
    <w:p w14:paraId="1A5CD5FD" w14:textId="77777777" w:rsidR="004E7119" w:rsidRDefault="004E7119">
      <w:pPr>
        <w:pStyle w:val="NoSpacing"/>
        <w:rPr>
          <w:vanish/>
        </w:rPr>
      </w:pPr>
    </w:p>
    <w:p w14:paraId="768A01FB" w14:textId="77777777" w:rsidR="004E7119" w:rsidRDefault="004E7119">
      <w:pPr>
        <w:pStyle w:val="NoSpacing"/>
        <w:rPr>
          <w:vanish/>
        </w:rPr>
      </w:pPr>
    </w:p>
    <w:p w14:paraId="277AE76E" w14:textId="77777777" w:rsidR="004E7119" w:rsidRDefault="004E7119">
      <w:pPr>
        <w:pStyle w:val="NoSpacing"/>
        <w:rPr>
          <w:vanish/>
        </w:rPr>
      </w:pPr>
    </w:p>
    <w:p w14:paraId="310D3A82" w14:textId="77777777" w:rsidR="004E7119" w:rsidRDefault="004E7119">
      <w:pPr>
        <w:pStyle w:val="NoSpacing"/>
        <w:rPr>
          <w:vanish/>
        </w:rPr>
      </w:pPr>
    </w:p>
    <w:p w14:paraId="638A5502" w14:textId="77777777" w:rsidR="004E7119" w:rsidRDefault="004E7119">
      <w:pPr>
        <w:pStyle w:val="NoSpacing"/>
        <w:rPr>
          <w:vanish/>
        </w:rPr>
      </w:pPr>
    </w:p>
    <w:p w14:paraId="4CEC0804" w14:textId="77777777" w:rsidR="004E7119" w:rsidRDefault="004E7119">
      <w:pPr>
        <w:pStyle w:val="NoSpacing"/>
        <w:rPr>
          <w:vanish/>
        </w:rPr>
      </w:pPr>
    </w:p>
    <w:p w14:paraId="15FC5693" w14:textId="77777777" w:rsidR="004E7119" w:rsidRDefault="004E7119">
      <w:pPr>
        <w:pStyle w:val="NoSpacing"/>
        <w:rPr>
          <w:vanish/>
        </w:rPr>
      </w:pPr>
    </w:p>
    <w:p w14:paraId="0C920612" w14:textId="77777777" w:rsidR="004E7119" w:rsidRDefault="004E7119">
      <w:pPr>
        <w:pStyle w:val="NoSpacing"/>
        <w:rPr>
          <w:vanish/>
        </w:rPr>
      </w:pPr>
    </w:p>
    <w:p w14:paraId="58FF8AA6" w14:textId="77777777" w:rsidR="004E7119" w:rsidRDefault="004E7119">
      <w:pPr>
        <w:pStyle w:val="NoSpacing"/>
        <w:rPr>
          <w:vanish/>
        </w:rPr>
      </w:pPr>
    </w:p>
    <w:p w14:paraId="5E76DF4A" w14:textId="77777777" w:rsidR="004E7119" w:rsidRDefault="004E7119">
      <w:pPr>
        <w:pStyle w:val="NoSpacing"/>
        <w:rPr>
          <w:vanish/>
        </w:rPr>
      </w:pPr>
    </w:p>
    <w:p w14:paraId="116103AF" w14:textId="77777777" w:rsidR="004E7119" w:rsidRDefault="004E7119">
      <w:pPr>
        <w:pStyle w:val="NoSpacing"/>
        <w:rPr>
          <w:vanish/>
        </w:rPr>
      </w:pPr>
    </w:p>
    <w:p w14:paraId="51D71655" w14:textId="77777777" w:rsidR="004E7119" w:rsidRDefault="004E7119">
      <w:pPr>
        <w:pStyle w:val="NoSpacing"/>
        <w:rPr>
          <w:vanish/>
        </w:rPr>
      </w:pPr>
    </w:p>
    <w:p w14:paraId="438098D7" w14:textId="77777777" w:rsidR="004E7119" w:rsidRDefault="004E7119">
      <w:pPr>
        <w:pStyle w:val="NoSpacing"/>
        <w:rPr>
          <w:vanish/>
        </w:rPr>
      </w:pPr>
    </w:p>
    <w:p w14:paraId="37744167" w14:textId="77777777" w:rsidR="004E7119" w:rsidRDefault="004E7119">
      <w:pPr>
        <w:pStyle w:val="NoSpacing"/>
        <w:rPr>
          <w:vanish/>
        </w:rPr>
      </w:pPr>
    </w:p>
    <w:p w14:paraId="01FDE955" w14:textId="77777777" w:rsidR="004E7119" w:rsidRDefault="004E7119">
      <w:pPr>
        <w:pStyle w:val="NoSpacing"/>
        <w:rPr>
          <w:vanish/>
        </w:rPr>
      </w:pPr>
    </w:p>
    <w:p w14:paraId="04ED1E5A" w14:textId="77777777" w:rsidR="004E7119" w:rsidRDefault="004E7119">
      <w:pPr>
        <w:pStyle w:val="NoSpacing"/>
        <w:rPr>
          <w:vanish/>
        </w:rPr>
      </w:pPr>
    </w:p>
    <w:p w14:paraId="17B20637" w14:textId="7FD1EA5E" w:rsidR="004E7119" w:rsidRDefault="002A3363">
      <w:pPr>
        <w:keepNext/>
        <w:widowControl w:val="0"/>
        <w:ind w:firstLine="720"/>
        <w:rPr>
          <w:b/>
          <w:color w:val="000000" w:themeColor="text1"/>
          <w:sz w:val="20"/>
          <w:szCs w:val="20"/>
        </w:rPr>
      </w:pPr>
      <w:r>
        <w:rPr>
          <w:rFonts w:asciiTheme="minorHAnsi" w:hAnsiTheme="minorHAnsi"/>
          <w:b/>
          <w:sz w:val="20"/>
          <w:szCs w:val="20"/>
        </w:rPr>
        <w:t xml:space="preserve">Table </w:t>
      </w:r>
      <w:r>
        <w:rPr>
          <w:rFonts w:asciiTheme="minorHAnsi" w:hAnsiTheme="minorHAnsi"/>
          <w:b/>
          <w:sz w:val="20"/>
          <w:szCs w:val="20"/>
        </w:rPr>
        <w:fldChar w:fldCharType="begin"/>
      </w:r>
      <w:r>
        <w:rPr>
          <w:rFonts w:asciiTheme="minorHAnsi" w:hAnsiTheme="minorHAnsi"/>
          <w:b/>
          <w:sz w:val="20"/>
          <w:szCs w:val="20"/>
        </w:rPr>
        <w:instrText xml:space="preserve"> SEQ Table \* ARABIC </w:instrText>
      </w:r>
      <w:r>
        <w:rPr>
          <w:rFonts w:asciiTheme="minorHAnsi" w:hAnsiTheme="minorHAnsi"/>
          <w:b/>
          <w:sz w:val="20"/>
          <w:szCs w:val="20"/>
        </w:rPr>
        <w:fldChar w:fldCharType="separate"/>
      </w:r>
      <w:r w:rsidR="00A85082">
        <w:rPr>
          <w:rFonts w:asciiTheme="minorHAnsi" w:hAnsiTheme="minorHAnsi"/>
          <w:b/>
          <w:noProof/>
          <w:sz w:val="20"/>
          <w:szCs w:val="20"/>
        </w:rPr>
        <w:t>2</w:t>
      </w:r>
      <w:r>
        <w:rPr>
          <w:rFonts w:asciiTheme="minorHAnsi" w:hAnsiTheme="minorHAnsi"/>
          <w:b/>
          <w:sz w:val="20"/>
          <w:szCs w:val="20"/>
        </w:rPr>
        <w:fldChar w:fldCharType="end"/>
      </w:r>
      <w:r>
        <w:rPr>
          <w:rFonts w:asciiTheme="minorHAnsi" w:hAnsiTheme="minorHAnsi"/>
          <w:b/>
          <w:sz w:val="20"/>
          <w:szCs w:val="20"/>
        </w:rPr>
        <w:t xml:space="preserve"> – Table of assistance to racial and ethnic populations by source of funds</w:t>
      </w:r>
      <w:r>
        <w:rPr>
          <w:b/>
          <w:color w:val="000000" w:themeColor="text1"/>
          <w:sz w:val="20"/>
          <w:szCs w:val="20"/>
        </w:rPr>
        <w:t xml:space="preserve"> </w:t>
      </w:r>
    </w:p>
    <w:p w14:paraId="23A53A33" w14:textId="77777777" w:rsidR="004E7119" w:rsidRDefault="004E7119">
      <w:pPr>
        <w:widowControl w:val="0"/>
        <w:rPr>
          <w:b/>
          <w:sz w:val="24"/>
          <w:szCs w:val="24"/>
        </w:rPr>
      </w:pPr>
    </w:p>
    <w:p w14:paraId="14B67309" w14:textId="77777777" w:rsidR="004E7119" w:rsidRDefault="002A3363">
      <w:pPr>
        <w:widowControl w:val="0"/>
        <w:rPr>
          <w:b/>
          <w:sz w:val="24"/>
          <w:szCs w:val="24"/>
        </w:rPr>
      </w:pPr>
      <w:r>
        <w:rPr>
          <w:b/>
          <w:sz w:val="24"/>
          <w:szCs w:val="24"/>
        </w:rPr>
        <w:t>Narrative</w:t>
      </w:r>
    </w:p>
    <w:p w14:paraId="3667DA74" w14:textId="40A448BD" w:rsidR="004E7119" w:rsidRPr="00770964" w:rsidRDefault="002A3363">
      <w:pPr>
        <w:widowControl w:val="0"/>
        <w:spacing w:beforeAutospacing="1" w:afterAutospacing="1"/>
        <w:rPr>
          <w:b/>
          <w:bCs/>
        </w:rPr>
      </w:pPr>
      <w:r w:rsidRPr="00E10D90">
        <w:t>Other races for Community Development Block Grant and Community Development Block Grant-Coronavirus, not reported above, are as follows: African Indian/Alaskan Native &amp; White (</w:t>
      </w:r>
      <w:r w:rsidR="00165559" w:rsidRPr="00E10D90">
        <w:t>7</w:t>
      </w:r>
      <w:r w:rsidRPr="00E10D90">
        <w:t>), Black/African American &amp; White (</w:t>
      </w:r>
      <w:r w:rsidR="00165559" w:rsidRPr="00E10D90">
        <w:t>55</w:t>
      </w:r>
      <w:r w:rsidRPr="00E10D90">
        <w:t>), American Indian/Alaskan Native &amp; Black/African American (</w:t>
      </w:r>
      <w:r w:rsidR="00165559" w:rsidRPr="00E10D90">
        <w:t>4</w:t>
      </w:r>
      <w:r w:rsidRPr="00E10D90">
        <w:t>), Asian &amp; White (</w:t>
      </w:r>
      <w:r w:rsidR="00165559" w:rsidRPr="00E10D90">
        <w:t>2</w:t>
      </w:r>
      <w:r w:rsidRPr="00E10D90">
        <w:t>), and Other (</w:t>
      </w:r>
      <w:r w:rsidR="00165559" w:rsidRPr="00E10D90">
        <w:t>86</w:t>
      </w:r>
      <w:r w:rsidRPr="00E10D90">
        <w:t>)</w:t>
      </w:r>
      <w:r>
        <w:t> </w:t>
      </w:r>
    </w:p>
    <w:p w14:paraId="49345C7C" w14:textId="77777777" w:rsidR="004E7119" w:rsidRDefault="004E7119">
      <w:pPr>
        <w:widowControl w:val="0"/>
        <w:spacing w:beforeAutospacing="1" w:afterAutospacing="1"/>
      </w:pPr>
    </w:p>
    <w:p w14:paraId="78CCD603" w14:textId="77777777" w:rsidR="004E7119" w:rsidRDefault="004E7119">
      <w:pPr>
        <w:widowControl w:val="0"/>
      </w:pPr>
    </w:p>
    <w:p w14:paraId="653B308A" w14:textId="77777777" w:rsidR="004E7119" w:rsidRDefault="004E7119">
      <w:pPr>
        <w:sectPr w:rsidR="004E7119">
          <w:pgSz w:w="12240" w:h="15840" w:code="1"/>
          <w:pgMar w:top="1440" w:right="1440" w:bottom="1440" w:left="1440" w:header="720" w:footer="720" w:gutter="0"/>
          <w:cols w:space="720"/>
          <w:docGrid w:linePitch="360"/>
        </w:sectPr>
      </w:pPr>
    </w:p>
    <w:bookmarkEnd w:id="0"/>
    <w:p w14:paraId="2AC21D4A" w14:textId="77777777" w:rsidR="004E7119" w:rsidRDefault="002A3363">
      <w:pPr>
        <w:pStyle w:val="Heading2"/>
        <w:rPr>
          <w:rFonts w:ascii="Calibri" w:hAnsi="Calibri"/>
          <w:i w:val="0"/>
        </w:rPr>
      </w:pPr>
      <w:r>
        <w:rPr>
          <w:rFonts w:ascii="Calibri" w:hAnsi="Calibri"/>
          <w:i w:val="0"/>
        </w:rPr>
        <w:lastRenderedPageBreak/>
        <w:t>CR-15 - Resources and Investments 91.520(a)</w:t>
      </w:r>
    </w:p>
    <w:p w14:paraId="73EA5CB9" w14:textId="77777777" w:rsidR="004E7119" w:rsidRDefault="002A3363">
      <w:pPr>
        <w:keepNext/>
        <w:widowControl w:val="0"/>
        <w:spacing w:after="0" w:line="240" w:lineRule="auto"/>
        <w:rPr>
          <w:b/>
          <w:sz w:val="24"/>
          <w:szCs w:val="24"/>
        </w:rPr>
      </w:pPr>
      <w:r>
        <w:rPr>
          <w:b/>
          <w:sz w:val="24"/>
          <w:szCs w:val="24"/>
        </w:rPr>
        <w:t>Identify the resources made available</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9"/>
        <w:gridCol w:w="2329"/>
        <w:gridCol w:w="2341"/>
        <w:gridCol w:w="2351"/>
      </w:tblGrid>
      <w:tr w:rsidR="004E7119" w14:paraId="25FEE8DF" w14:textId="77777777">
        <w:trPr>
          <w:cantSplit/>
        </w:trPr>
        <w:tc>
          <w:tcPr>
            <w:tcW w:w="2394" w:type="dxa"/>
          </w:tcPr>
          <w:p w14:paraId="00F411EF" w14:textId="77777777" w:rsidR="004E7119" w:rsidRDefault="002A3363">
            <w:pPr>
              <w:keepNext/>
              <w:widowControl w:val="0"/>
              <w:spacing w:after="0" w:line="240" w:lineRule="auto"/>
              <w:jc w:val="center"/>
              <w:rPr>
                <w:rFonts w:cs="Arial"/>
                <w:b/>
              </w:rPr>
            </w:pPr>
            <w:r>
              <w:rPr>
                <w:rFonts w:cs="Arial"/>
                <w:b/>
              </w:rPr>
              <w:t>Source of Funds</w:t>
            </w:r>
          </w:p>
        </w:tc>
        <w:tc>
          <w:tcPr>
            <w:tcW w:w="2394" w:type="dxa"/>
          </w:tcPr>
          <w:p w14:paraId="2E60A084" w14:textId="77777777" w:rsidR="004E7119" w:rsidRDefault="002A3363">
            <w:pPr>
              <w:keepNext/>
              <w:widowControl w:val="0"/>
              <w:spacing w:after="0" w:line="240" w:lineRule="auto"/>
              <w:jc w:val="center"/>
              <w:rPr>
                <w:rFonts w:cs="Arial"/>
                <w:b/>
              </w:rPr>
            </w:pPr>
            <w:r>
              <w:rPr>
                <w:rFonts w:cs="Arial"/>
                <w:b/>
              </w:rPr>
              <w:t>Source</w:t>
            </w:r>
          </w:p>
        </w:tc>
        <w:tc>
          <w:tcPr>
            <w:tcW w:w="2394" w:type="dxa"/>
          </w:tcPr>
          <w:p w14:paraId="4BFAC59D" w14:textId="77777777" w:rsidR="004E7119" w:rsidRDefault="002A3363">
            <w:pPr>
              <w:keepNext/>
              <w:spacing w:after="0" w:line="240" w:lineRule="auto"/>
              <w:jc w:val="center"/>
              <w:rPr>
                <w:rFonts w:cs="Arial"/>
                <w:b/>
              </w:rPr>
            </w:pPr>
            <w:r>
              <w:rPr>
                <w:rFonts w:cs="Arial"/>
                <w:b/>
              </w:rPr>
              <w:t>Resources Made Available</w:t>
            </w:r>
          </w:p>
        </w:tc>
        <w:tc>
          <w:tcPr>
            <w:tcW w:w="2394" w:type="dxa"/>
          </w:tcPr>
          <w:p w14:paraId="6E7BFF52" w14:textId="77777777" w:rsidR="004E7119" w:rsidRDefault="002A3363">
            <w:pPr>
              <w:keepNext/>
              <w:widowControl w:val="0"/>
              <w:spacing w:after="0" w:line="240" w:lineRule="auto"/>
              <w:jc w:val="center"/>
              <w:rPr>
                <w:rFonts w:cs="Arial"/>
                <w:b/>
              </w:rPr>
            </w:pPr>
            <w:r>
              <w:rPr>
                <w:rFonts w:cs="Arial"/>
                <w:b/>
              </w:rPr>
              <w:t>Amount Expended During Program Year</w:t>
            </w:r>
          </w:p>
        </w:tc>
      </w:tr>
      <w:tr w:rsidR="004E7119" w14:paraId="4516642B" w14:textId="77777777">
        <w:trPr>
          <w:cantSplit/>
        </w:trPr>
        <w:tc>
          <w:tcPr>
            <w:tcW w:w="0" w:type="auto"/>
            <w:vAlign w:val="bottom"/>
          </w:tcPr>
          <w:p w14:paraId="3F38850F" w14:textId="77777777" w:rsidR="004E7119" w:rsidRDefault="002A3363">
            <w:pPr>
              <w:spacing w:beforeAutospacing="1" w:afterAutospacing="1"/>
            </w:pPr>
            <w:r>
              <w:rPr>
                <w:color w:val="000000"/>
              </w:rPr>
              <w:t>CDBG</w:t>
            </w:r>
          </w:p>
        </w:tc>
        <w:tc>
          <w:tcPr>
            <w:tcW w:w="0" w:type="auto"/>
            <w:vAlign w:val="bottom"/>
          </w:tcPr>
          <w:p w14:paraId="76556650" w14:textId="77777777" w:rsidR="004E7119" w:rsidRDefault="002A3363">
            <w:pPr>
              <w:spacing w:beforeAutospacing="1" w:afterAutospacing="1"/>
            </w:pPr>
            <w:r>
              <w:rPr>
                <w:color w:val="000000"/>
              </w:rPr>
              <w:t>public - federal</w:t>
            </w:r>
          </w:p>
        </w:tc>
        <w:tc>
          <w:tcPr>
            <w:tcW w:w="0" w:type="auto"/>
            <w:vAlign w:val="bottom"/>
          </w:tcPr>
          <w:p w14:paraId="45431169" w14:textId="309B630F" w:rsidR="004E7119" w:rsidRPr="00011E9C" w:rsidRDefault="002A3363">
            <w:pPr>
              <w:spacing w:beforeAutospacing="1" w:afterAutospacing="1"/>
              <w:jc w:val="right"/>
            </w:pPr>
            <w:r w:rsidRPr="00011E9C">
              <w:rPr>
                <w:color w:val="000000"/>
              </w:rPr>
              <w:t>1,</w:t>
            </w:r>
            <w:r w:rsidR="00554657" w:rsidRPr="00011E9C">
              <w:rPr>
                <w:color w:val="000000"/>
              </w:rPr>
              <w:t>386,307</w:t>
            </w:r>
          </w:p>
        </w:tc>
        <w:tc>
          <w:tcPr>
            <w:tcW w:w="0" w:type="auto"/>
            <w:vAlign w:val="bottom"/>
          </w:tcPr>
          <w:p w14:paraId="38FFB6D9" w14:textId="492D83B6" w:rsidR="004E7119" w:rsidRPr="00011E9C" w:rsidRDefault="00F91C36">
            <w:pPr>
              <w:spacing w:beforeAutospacing="1" w:afterAutospacing="1"/>
              <w:jc w:val="right"/>
            </w:pPr>
            <w:r w:rsidRPr="00011E9C">
              <w:rPr>
                <w:color w:val="000000"/>
              </w:rPr>
              <w:t>1,400</w:t>
            </w:r>
            <w:r w:rsidR="00BD65DA">
              <w:rPr>
                <w:color w:val="000000"/>
              </w:rPr>
              <w:t>,</w:t>
            </w:r>
            <w:r w:rsidRPr="00011E9C">
              <w:rPr>
                <w:color w:val="000000"/>
              </w:rPr>
              <w:t>274.17</w:t>
            </w:r>
          </w:p>
        </w:tc>
      </w:tr>
      <w:tr w:rsidR="004E7119" w14:paraId="450439D5" w14:textId="77777777">
        <w:trPr>
          <w:cantSplit/>
        </w:trPr>
        <w:tc>
          <w:tcPr>
            <w:tcW w:w="0" w:type="auto"/>
            <w:vAlign w:val="bottom"/>
          </w:tcPr>
          <w:p w14:paraId="070DAE73" w14:textId="77777777" w:rsidR="004E7119" w:rsidRDefault="002A3363">
            <w:pPr>
              <w:spacing w:beforeAutospacing="1" w:afterAutospacing="1"/>
            </w:pPr>
            <w:r>
              <w:rPr>
                <w:color w:val="000000"/>
              </w:rPr>
              <w:t>HOME</w:t>
            </w:r>
          </w:p>
        </w:tc>
        <w:tc>
          <w:tcPr>
            <w:tcW w:w="0" w:type="auto"/>
            <w:vAlign w:val="bottom"/>
          </w:tcPr>
          <w:p w14:paraId="32EA29AD" w14:textId="77777777" w:rsidR="004E7119" w:rsidRDefault="002A3363">
            <w:pPr>
              <w:spacing w:beforeAutospacing="1" w:afterAutospacing="1"/>
            </w:pPr>
            <w:r>
              <w:rPr>
                <w:color w:val="000000"/>
              </w:rPr>
              <w:t>public - federal</w:t>
            </w:r>
          </w:p>
        </w:tc>
        <w:tc>
          <w:tcPr>
            <w:tcW w:w="0" w:type="auto"/>
            <w:vAlign w:val="bottom"/>
          </w:tcPr>
          <w:p w14:paraId="5C4D98A7" w14:textId="4A9BB6AF" w:rsidR="004E7119" w:rsidRPr="00011E9C" w:rsidRDefault="002A3363">
            <w:pPr>
              <w:spacing w:beforeAutospacing="1" w:afterAutospacing="1"/>
              <w:jc w:val="right"/>
            </w:pPr>
            <w:r w:rsidRPr="00011E9C">
              <w:rPr>
                <w:color w:val="000000"/>
              </w:rPr>
              <w:t>1</w:t>
            </w:r>
            <w:r w:rsidR="00554657" w:rsidRPr="00011E9C">
              <w:rPr>
                <w:color w:val="000000"/>
              </w:rPr>
              <w:t>,297,107</w:t>
            </w:r>
          </w:p>
        </w:tc>
        <w:tc>
          <w:tcPr>
            <w:tcW w:w="0" w:type="auto"/>
            <w:vAlign w:val="bottom"/>
          </w:tcPr>
          <w:p w14:paraId="27E63176" w14:textId="65D246AE" w:rsidR="004E7119" w:rsidRPr="00011E9C" w:rsidRDefault="00F91C36">
            <w:pPr>
              <w:spacing w:beforeAutospacing="1" w:afterAutospacing="1"/>
              <w:jc w:val="right"/>
            </w:pPr>
            <w:r w:rsidRPr="00011E9C">
              <w:t>520,303.88</w:t>
            </w:r>
          </w:p>
        </w:tc>
      </w:tr>
    </w:tbl>
    <w:p w14:paraId="4E2B8289" w14:textId="65D65A75" w:rsidR="004E7119" w:rsidRDefault="002A3363">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sidR="00A85082">
        <w:rPr>
          <w:rFonts w:asciiTheme="minorHAnsi" w:hAnsiTheme="minorHAnsi"/>
          <w:noProof/>
        </w:rPr>
        <w:t>3</w:t>
      </w:r>
      <w:r>
        <w:rPr>
          <w:rFonts w:asciiTheme="minorHAnsi" w:hAnsiTheme="minorHAnsi"/>
        </w:rPr>
        <w:fldChar w:fldCharType="end"/>
      </w:r>
      <w:r>
        <w:rPr>
          <w:rFonts w:asciiTheme="minorHAnsi" w:hAnsiTheme="minorHAnsi"/>
        </w:rPr>
        <w:t xml:space="preserve"> - Resources Made Available</w:t>
      </w:r>
    </w:p>
    <w:p w14:paraId="763B99A8" w14:textId="77777777" w:rsidR="004E7119" w:rsidRDefault="004E7119">
      <w:pPr>
        <w:spacing w:after="0" w:line="240" w:lineRule="auto"/>
        <w:rPr>
          <w:b/>
          <w:sz w:val="24"/>
          <w:szCs w:val="24"/>
        </w:rPr>
      </w:pPr>
    </w:p>
    <w:p w14:paraId="6782C4B4" w14:textId="77777777" w:rsidR="004E7119" w:rsidRDefault="002A3363">
      <w:pPr>
        <w:spacing w:after="0" w:line="240" w:lineRule="auto"/>
        <w:rPr>
          <w:b/>
          <w:sz w:val="24"/>
          <w:szCs w:val="24"/>
        </w:rPr>
      </w:pPr>
      <w:r>
        <w:rPr>
          <w:b/>
          <w:sz w:val="24"/>
          <w:szCs w:val="24"/>
        </w:rPr>
        <w:t>Narrative</w:t>
      </w:r>
    </w:p>
    <w:p w14:paraId="1EC12534" w14:textId="05C37E25" w:rsidR="004E7119" w:rsidRDefault="002A3363">
      <w:pPr>
        <w:spacing w:beforeAutospacing="1" w:afterAutospacing="1"/>
        <w:rPr>
          <w:rFonts w:cs="Arial"/>
        </w:rPr>
      </w:pPr>
      <w:r>
        <w:rPr>
          <w:rFonts w:cs="Arial"/>
        </w:rPr>
        <w:t xml:space="preserve">The total amount of resources available in Community Development Block Grant and HOME Investment Partnerships Program </w:t>
      </w:r>
      <w:r w:rsidRPr="00140410">
        <w:rPr>
          <w:rFonts w:cs="Arial"/>
        </w:rPr>
        <w:t>were $7,</w:t>
      </w:r>
      <w:r w:rsidR="00140410" w:rsidRPr="00140410">
        <w:rPr>
          <w:rFonts w:cs="Arial"/>
        </w:rPr>
        <w:t>200,000.00</w:t>
      </w:r>
      <w:r>
        <w:rPr>
          <w:rFonts w:cs="Arial"/>
        </w:rPr>
        <w:t xml:space="preserve">, this includes the Home Investment Partnerships Program American Resource Plan Act </w:t>
      </w:r>
      <w:r w:rsidRPr="00140410">
        <w:rPr>
          <w:rFonts w:cs="Arial"/>
        </w:rPr>
        <w:t>of $4,524,586.00</w:t>
      </w:r>
      <w:r>
        <w:rPr>
          <w:rFonts w:cs="Arial"/>
        </w:rPr>
        <w:t xml:space="preserve">. A total </w:t>
      </w:r>
      <w:r w:rsidRPr="00140410">
        <w:rPr>
          <w:rFonts w:cs="Arial"/>
        </w:rPr>
        <w:t>of $</w:t>
      </w:r>
      <w:r w:rsidR="00140410" w:rsidRPr="00140410">
        <w:rPr>
          <w:rFonts w:cs="Arial"/>
        </w:rPr>
        <w:t>1,920,578.05</w:t>
      </w:r>
      <w:r w:rsidRPr="00140410">
        <w:rPr>
          <w:rFonts w:cs="Arial"/>
        </w:rPr>
        <w:t xml:space="preserve"> was expended in Community Development Block Grant, Community Development Block Grant</w:t>
      </w:r>
      <w:r>
        <w:rPr>
          <w:rFonts w:cs="Arial"/>
        </w:rPr>
        <w:t>-</w:t>
      </w:r>
      <w:proofErr w:type="gramStart"/>
      <w:r>
        <w:rPr>
          <w:rFonts w:cs="Arial"/>
        </w:rPr>
        <w:t>CV</w:t>
      </w:r>
      <w:proofErr w:type="gramEnd"/>
      <w:r>
        <w:rPr>
          <w:rFonts w:cs="Arial"/>
        </w:rPr>
        <w:t xml:space="preserve"> and HOME Investment Partnerships Program. The Community Development Block Grant funds were also used to repay the Section 108 loans for the Health Department and West Canaveral Groves waterline.</w:t>
      </w:r>
    </w:p>
    <w:p w14:paraId="72BD005F" w14:textId="77777777" w:rsidR="004E7119" w:rsidRDefault="004E7119">
      <w:pPr>
        <w:spacing w:after="0" w:line="240" w:lineRule="auto"/>
        <w:rPr>
          <w:b/>
          <w:sz w:val="24"/>
          <w:szCs w:val="24"/>
        </w:rPr>
      </w:pPr>
    </w:p>
    <w:p w14:paraId="57C43D76" w14:textId="77777777" w:rsidR="004E7119" w:rsidRDefault="002A3363">
      <w:pPr>
        <w:keepNext/>
        <w:spacing w:after="0" w:line="240" w:lineRule="auto"/>
        <w:rPr>
          <w:b/>
          <w:sz w:val="24"/>
          <w:szCs w:val="24"/>
        </w:rPr>
      </w:pPr>
      <w:r>
        <w:rPr>
          <w:b/>
          <w:sz w:val="24"/>
          <w:szCs w:val="24"/>
        </w:rPr>
        <w:t>Identify the geographic distribution and location of investments</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4"/>
        <w:gridCol w:w="1619"/>
        <w:gridCol w:w="1619"/>
        <w:gridCol w:w="3908"/>
      </w:tblGrid>
      <w:tr w:rsidR="004E7119" w14:paraId="50A002DB" w14:textId="77777777">
        <w:trPr>
          <w:cantSplit/>
        </w:trPr>
        <w:tc>
          <w:tcPr>
            <w:tcW w:w="2394" w:type="dxa"/>
          </w:tcPr>
          <w:p w14:paraId="1E76C8F0" w14:textId="77777777" w:rsidR="004E7119" w:rsidRDefault="002A3363">
            <w:pPr>
              <w:keepNext/>
              <w:widowControl w:val="0"/>
              <w:spacing w:after="0" w:line="240" w:lineRule="auto"/>
              <w:jc w:val="center"/>
              <w:rPr>
                <w:rFonts w:cs="Arial"/>
                <w:b/>
              </w:rPr>
            </w:pPr>
            <w:r>
              <w:rPr>
                <w:rFonts w:cs="Arial"/>
                <w:b/>
              </w:rPr>
              <w:t>Target Area</w:t>
            </w:r>
          </w:p>
        </w:tc>
        <w:tc>
          <w:tcPr>
            <w:tcW w:w="2394" w:type="dxa"/>
          </w:tcPr>
          <w:p w14:paraId="4E075656" w14:textId="77777777" w:rsidR="004E7119" w:rsidRDefault="002A3363">
            <w:pPr>
              <w:keepNext/>
              <w:widowControl w:val="0"/>
              <w:spacing w:after="0" w:line="240" w:lineRule="auto"/>
              <w:jc w:val="center"/>
              <w:rPr>
                <w:rFonts w:cs="Arial"/>
                <w:b/>
              </w:rPr>
            </w:pPr>
            <w:r>
              <w:rPr>
                <w:rFonts w:cs="Arial"/>
                <w:b/>
              </w:rPr>
              <w:t>Planned Percentage of Allocation</w:t>
            </w:r>
          </w:p>
        </w:tc>
        <w:tc>
          <w:tcPr>
            <w:tcW w:w="2394" w:type="dxa"/>
          </w:tcPr>
          <w:p w14:paraId="0A87EF19" w14:textId="77777777" w:rsidR="004E7119" w:rsidRDefault="002A3363">
            <w:pPr>
              <w:keepNext/>
              <w:spacing w:after="0" w:line="240" w:lineRule="auto"/>
              <w:jc w:val="center"/>
              <w:rPr>
                <w:rFonts w:cs="Arial"/>
                <w:b/>
              </w:rPr>
            </w:pPr>
            <w:r>
              <w:rPr>
                <w:rFonts w:cs="Arial"/>
                <w:b/>
              </w:rPr>
              <w:t>Actual Percentage of Allocation</w:t>
            </w:r>
          </w:p>
        </w:tc>
        <w:tc>
          <w:tcPr>
            <w:tcW w:w="2394" w:type="dxa"/>
          </w:tcPr>
          <w:p w14:paraId="1BEC3AFF" w14:textId="77777777" w:rsidR="004E7119" w:rsidRDefault="002A3363">
            <w:pPr>
              <w:keepNext/>
              <w:widowControl w:val="0"/>
              <w:spacing w:after="0" w:line="240" w:lineRule="auto"/>
              <w:jc w:val="center"/>
              <w:rPr>
                <w:rFonts w:cs="Arial"/>
                <w:b/>
              </w:rPr>
            </w:pPr>
            <w:r>
              <w:rPr>
                <w:rFonts w:cs="Arial"/>
                <w:b/>
              </w:rPr>
              <w:t>Narrative Description</w:t>
            </w:r>
          </w:p>
        </w:tc>
      </w:tr>
      <w:tr w:rsidR="004E7119" w14:paraId="2B472D6F" w14:textId="77777777">
        <w:trPr>
          <w:cantSplit/>
        </w:trPr>
        <w:tc>
          <w:tcPr>
            <w:tcW w:w="0" w:type="auto"/>
            <w:vAlign w:val="bottom"/>
          </w:tcPr>
          <w:p w14:paraId="259A6A92" w14:textId="77777777" w:rsidR="004E7119" w:rsidRDefault="002A3363">
            <w:pPr>
              <w:spacing w:beforeAutospacing="1" w:afterAutospacing="1"/>
            </w:pPr>
            <w:r>
              <w:rPr>
                <w:color w:val="000000"/>
              </w:rPr>
              <w:t>Clearlake - Cocoa Neighborhood</w:t>
            </w:r>
          </w:p>
        </w:tc>
        <w:tc>
          <w:tcPr>
            <w:tcW w:w="0" w:type="auto"/>
            <w:vAlign w:val="bottom"/>
          </w:tcPr>
          <w:p w14:paraId="2FF722CE" w14:textId="11122BB9" w:rsidR="004E7119" w:rsidRDefault="001A5FE1">
            <w:pPr>
              <w:spacing w:beforeAutospacing="1" w:afterAutospacing="1"/>
            </w:pPr>
            <w:r>
              <w:rPr>
                <w:color w:val="000000"/>
              </w:rPr>
              <w:t>5</w:t>
            </w:r>
          </w:p>
        </w:tc>
        <w:tc>
          <w:tcPr>
            <w:tcW w:w="0" w:type="auto"/>
            <w:vAlign w:val="bottom"/>
          </w:tcPr>
          <w:p w14:paraId="36FF026B" w14:textId="77777777" w:rsidR="004E7119" w:rsidRDefault="002A3363">
            <w:pPr>
              <w:spacing w:beforeAutospacing="1" w:afterAutospacing="1"/>
            </w:pPr>
            <w:r>
              <w:rPr>
                <w:color w:val="000000"/>
              </w:rPr>
              <w:t>0</w:t>
            </w:r>
          </w:p>
        </w:tc>
        <w:tc>
          <w:tcPr>
            <w:tcW w:w="0" w:type="auto"/>
            <w:vAlign w:val="bottom"/>
          </w:tcPr>
          <w:p w14:paraId="700C8495" w14:textId="77777777" w:rsidR="004E7119" w:rsidRDefault="002A3363">
            <w:pPr>
              <w:spacing w:beforeAutospacing="1" w:afterAutospacing="1"/>
            </w:pPr>
            <w:r>
              <w:rPr>
                <w:color w:val="000000"/>
              </w:rPr>
              <w:t xml:space="preserve"> </w:t>
            </w:r>
          </w:p>
        </w:tc>
      </w:tr>
      <w:tr w:rsidR="004E7119" w14:paraId="7ED96427" w14:textId="77777777">
        <w:trPr>
          <w:cantSplit/>
        </w:trPr>
        <w:tc>
          <w:tcPr>
            <w:tcW w:w="0" w:type="auto"/>
            <w:vAlign w:val="bottom"/>
          </w:tcPr>
          <w:p w14:paraId="64A6C4FA" w14:textId="77777777" w:rsidR="004E7119" w:rsidRDefault="002A3363">
            <w:pPr>
              <w:spacing w:beforeAutospacing="1" w:afterAutospacing="1"/>
            </w:pPr>
            <w:r>
              <w:rPr>
                <w:color w:val="000000"/>
              </w:rPr>
              <w:t>Countywide</w:t>
            </w:r>
          </w:p>
        </w:tc>
        <w:tc>
          <w:tcPr>
            <w:tcW w:w="0" w:type="auto"/>
            <w:vAlign w:val="bottom"/>
          </w:tcPr>
          <w:p w14:paraId="6CDF99DD" w14:textId="6C863B66" w:rsidR="004E7119" w:rsidRDefault="001A5FE1">
            <w:pPr>
              <w:spacing w:beforeAutospacing="1" w:afterAutospacing="1"/>
            </w:pPr>
            <w:r>
              <w:rPr>
                <w:color w:val="000000"/>
              </w:rPr>
              <w:t>59</w:t>
            </w:r>
          </w:p>
        </w:tc>
        <w:tc>
          <w:tcPr>
            <w:tcW w:w="0" w:type="auto"/>
            <w:vAlign w:val="bottom"/>
          </w:tcPr>
          <w:p w14:paraId="591E9477" w14:textId="7B93C8CE" w:rsidR="004E7119" w:rsidRDefault="001A5FE1">
            <w:pPr>
              <w:spacing w:beforeAutospacing="1" w:afterAutospacing="1"/>
            </w:pPr>
            <w:r>
              <w:rPr>
                <w:color w:val="000000"/>
              </w:rPr>
              <w:t>7</w:t>
            </w:r>
          </w:p>
        </w:tc>
        <w:tc>
          <w:tcPr>
            <w:tcW w:w="0" w:type="auto"/>
            <w:vAlign w:val="bottom"/>
          </w:tcPr>
          <w:p w14:paraId="053289B4" w14:textId="7E0E17CA" w:rsidR="004E7119" w:rsidRDefault="002A3363">
            <w:pPr>
              <w:spacing w:beforeAutospacing="1" w:afterAutospacing="1"/>
            </w:pPr>
            <w:r>
              <w:rPr>
                <w:color w:val="000000"/>
              </w:rPr>
              <w:t xml:space="preserve"> </w:t>
            </w:r>
            <w:r w:rsidR="001A5FE1">
              <w:rPr>
                <w:color w:val="000000"/>
              </w:rPr>
              <w:t>Section 108 Loan Payment</w:t>
            </w:r>
          </w:p>
        </w:tc>
      </w:tr>
      <w:tr w:rsidR="004E7119" w14:paraId="6FA92D9C" w14:textId="77777777">
        <w:trPr>
          <w:cantSplit/>
        </w:trPr>
        <w:tc>
          <w:tcPr>
            <w:tcW w:w="0" w:type="auto"/>
            <w:vAlign w:val="bottom"/>
          </w:tcPr>
          <w:p w14:paraId="74E41AFC" w14:textId="77777777" w:rsidR="004E7119" w:rsidRDefault="002A3363">
            <w:pPr>
              <w:spacing w:beforeAutospacing="1" w:afterAutospacing="1"/>
            </w:pPr>
            <w:r>
              <w:rPr>
                <w:color w:val="000000"/>
              </w:rPr>
              <w:t>East Mims Neighborhood</w:t>
            </w:r>
          </w:p>
        </w:tc>
        <w:tc>
          <w:tcPr>
            <w:tcW w:w="0" w:type="auto"/>
            <w:vAlign w:val="bottom"/>
          </w:tcPr>
          <w:p w14:paraId="6DEC2842" w14:textId="6F1EAC7F" w:rsidR="004E7119" w:rsidRDefault="001A5FE1">
            <w:pPr>
              <w:spacing w:beforeAutospacing="1" w:afterAutospacing="1"/>
            </w:pPr>
            <w:r>
              <w:rPr>
                <w:color w:val="000000"/>
              </w:rPr>
              <w:t>0</w:t>
            </w:r>
          </w:p>
        </w:tc>
        <w:tc>
          <w:tcPr>
            <w:tcW w:w="0" w:type="auto"/>
            <w:vAlign w:val="bottom"/>
          </w:tcPr>
          <w:p w14:paraId="17D16FC7" w14:textId="77777777" w:rsidR="004E7119" w:rsidRDefault="002A3363">
            <w:pPr>
              <w:spacing w:beforeAutospacing="1" w:afterAutospacing="1"/>
            </w:pPr>
            <w:r>
              <w:rPr>
                <w:color w:val="000000"/>
              </w:rPr>
              <w:t>0</w:t>
            </w:r>
          </w:p>
        </w:tc>
        <w:tc>
          <w:tcPr>
            <w:tcW w:w="0" w:type="auto"/>
            <w:vAlign w:val="bottom"/>
          </w:tcPr>
          <w:p w14:paraId="58B9EC40" w14:textId="77777777" w:rsidR="004E7119" w:rsidRDefault="002A3363">
            <w:pPr>
              <w:spacing w:beforeAutospacing="1" w:afterAutospacing="1"/>
            </w:pPr>
            <w:r>
              <w:rPr>
                <w:color w:val="000000"/>
              </w:rPr>
              <w:t xml:space="preserve"> </w:t>
            </w:r>
          </w:p>
        </w:tc>
      </w:tr>
      <w:tr w:rsidR="004E7119" w14:paraId="74D1D2D6" w14:textId="77777777">
        <w:trPr>
          <w:cantSplit/>
        </w:trPr>
        <w:tc>
          <w:tcPr>
            <w:tcW w:w="0" w:type="auto"/>
            <w:vAlign w:val="bottom"/>
          </w:tcPr>
          <w:p w14:paraId="4847BC1F" w14:textId="77777777" w:rsidR="004E7119" w:rsidRDefault="002A3363">
            <w:pPr>
              <w:spacing w:beforeAutospacing="1" w:afterAutospacing="1"/>
            </w:pPr>
            <w:r>
              <w:rPr>
                <w:color w:val="000000"/>
              </w:rPr>
              <w:t>Micco Neighborhood</w:t>
            </w:r>
          </w:p>
        </w:tc>
        <w:tc>
          <w:tcPr>
            <w:tcW w:w="0" w:type="auto"/>
            <w:vAlign w:val="bottom"/>
          </w:tcPr>
          <w:p w14:paraId="0308D43F" w14:textId="523D4D46" w:rsidR="004E7119" w:rsidRDefault="001A5FE1">
            <w:pPr>
              <w:spacing w:beforeAutospacing="1" w:afterAutospacing="1"/>
            </w:pPr>
            <w:r>
              <w:rPr>
                <w:color w:val="000000"/>
              </w:rPr>
              <w:t>0</w:t>
            </w:r>
          </w:p>
        </w:tc>
        <w:tc>
          <w:tcPr>
            <w:tcW w:w="0" w:type="auto"/>
            <w:vAlign w:val="bottom"/>
          </w:tcPr>
          <w:p w14:paraId="04C32658" w14:textId="77777777" w:rsidR="004E7119" w:rsidRDefault="002A3363">
            <w:pPr>
              <w:spacing w:beforeAutospacing="1" w:afterAutospacing="1"/>
            </w:pPr>
            <w:r>
              <w:rPr>
                <w:color w:val="000000"/>
              </w:rPr>
              <w:t>0</w:t>
            </w:r>
          </w:p>
        </w:tc>
        <w:tc>
          <w:tcPr>
            <w:tcW w:w="0" w:type="auto"/>
            <w:vAlign w:val="bottom"/>
          </w:tcPr>
          <w:p w14:paraId="4DA2ACF3" w14:textId="77777777" w:rsidR="004E7119" w:rsidRDefault="002A3363">
            <w:pPr>
              <w:spacing w:beforeAutospacing="1" w:afterAutospacing="1"/>
            </w:pPr>
            <w:r>
              <w:rPr>
                <w:color w:val="000000"/>
              </w:rPr>
              <w:t xml:space="preserve"> </w:t>
            </w:r>
          </w:p>
        </w:tc>
      </w:tr>
      <w:tr w:rsidR="004E7119" w14:paraId="275ED614" w14:textId="77777777">
        <w:trPr>
          <w:cantSplit/>
        </w:trPr>
        <w:tc>
          <w:tcPr>
            <w:tcW w:w="0" w:type="auto"/>
            <w:vAlign w:val="bottom"/>
          </w:tcPr>
          <w:p w14:paraId="3092543A" w14:textId="77777777" w:rsidR="004E7119" w:rsidRDefault="002A3363">
            <w:pPr>
              <w:spacing w:beforeAutospacing="1" w:afterAutospacing="1"/>
            </w:pPr>
            <w:r>
              <w:rPr>
                <w:color w:val="000000"/>
              </w:rPr>
              <w:t>North Tropical Trail Neighborhood</w:t>
            </w:r>
          </w:p>
        </w:tc>
        <w:tc>
          <w:tcPr>
            <w:tcW w:w="0" w:type="auto"/>
            <w:vAlign w:val="bottom"/>
          </w:tcPr>
          <w:p w14:paraId="78B611E7" w14:textId="14CA5BF6" w:rsidR="004E7119" w:rsidRDefault="001A5FE1">
            <w:pPr>
              <w:spacing w:beforeAutospacing="1" w:afterAutospacing="1"/>
            </w:pPr>
            <w:r>
              <w:rPr>
                <w:color w:val="000000"/>
              </w:rPr>
              <w:t>0</w:t>
            </w:r>
          </w:p>
        </w:tc>
        <w:tc>
          <w:tcPr>
            <w:tcW w:w="0" w:type="auto"/>
            <w:vAlign w:val="bottom"/>
          </w:tcPr>
          <w:p w14:paraId="7BD9CD24" w14:textId="77777777" w:rsidR="004E7119" w:rsidRDefault="002A3363">
            <w:pPr>
              <w:spacing w:beforeAutospacing="1" w:afterAutospacing="1"/>
            </w:pPr>
            <w:r>
              <w:rPr>
                <w:color w:val="000000"/>
              </w:rPr>
              <w:t>0</w:t>
            </w:r>
          </w:p>
        </w:tc>
        <w:tc>
          <w:tcPr>
            <w:tcW w:w="0" w:type="auto"/>
            <w:vAlign w:val="bottom"/>
          </w:tcPr>
          <w:p w14:paraId="6D9FD297" w14:textId="77777777" w:rsidR="004E7119" w:rsidRDefault="002A3363">
            <w:pPr>
              <w:spacing w:beforeAutospacing="1" w:afterAutospacing="1"/>
            </w:pPr>
            <w:r>
              <w:rPr>
                <w:color w:val="000000"/>
              </w:rPr>
              <w:t xml:space="preserve"> </w:t>
            </w:r>
          </w:p>
        </w:tc>
      </w:tr>
      <w:tr w:rsidR="004E7119" w14:paraId="4B61133D" w14:textId="77777777">
        <w:trPr>
          <w:cantSplit/>
        </w:trPr>
        <w:tc>
          <w:tcPr>
            <w:tcW w:w="0" w:type="auto"/>
            <w:vAlign w:val="bottom"/>
          </w:tcPr>
          <w:p w14:paraId="7C479467" w14:textId="77777777" w:rsidR="004E7119" w:rsidRDefault="002A3363">
            <w:pPr>
              <w:spacing w:beforeAutospacing="1" w:afterAutospacing="1"/>
            </w:pPr>
            <w:r>
              <w:rPr>
                <w:color w:val="000000"/>
              </w:rPr>
              <w:t>Sharpes Neighborhood</w:t>
            </w:r>
          </w:p>
        </w:tc>
        <w:tc>
          <w:tcPr>
            <w:tcW w:w="0" w:type="auto"/>
            <w:vAlign w:val="bottom"/>
          </w:tcPr>
          <w:p w14:paraId="61153D22" w14:textId="36EF8110" w:rsidR="004E7119" w:rsidRDefault="001A5FE1">
            <w:pPr>
              <w:spacing w:beforeAutospacing="1" w:afterAutospacing="1"/>
            </w:pPr>
            <w:r>
              <w:rPr>
                <w:color w:val="000000"/>
              </w:rPr>
              <w:t>11</w:t>
            </w:r>
          </w:p>
        </w:tc>
        <w:tc>
          <w:tcPr>
            <w:tcW w:w="0" w:type="auto"/>
            <w:vAlign w:val="bottom"/>
          </w:tcPr>
          <w:p w14:paraId="06D73C2A" w14:textId="09E887D9" w:rsidR="004E7119" w:rsidRPr="0081738B" w:rsidRDefault="001A5FE1">
            <w:pPr>
              <w:spacing w:beforeAutospacing="1" w:afterAutospacing="1"/>
            </w:pPr>
            <w:r>
              <w:rPr>
                <w:color w:val="000000"/>
              </w:rPr>
              <w:t>18</w:t>
            </w:r>
          </w:p>
        </w:tc>
        <w:tc>
          <w:tcPr>
            <w:tcW w:w="0" w:type="auto"/>
            <w:vAlign w:val="bottom"/>
          </w:tcPr>
          <w:p w14:paraId="0A2BBF93" w14:textId="77777777" w:rsidR="004E7119" w:rsidRDefault="002A3363">
            <w:pPr>
              <w:spacing w:beforeAutospacing="1" w:afterAutospacing="1"/>
            </w:pPr>
            <w:r>
              <w:rPr>
                <w:color w:val="000000"/>
              </w:rPr>
              <w:t xml:space="preserve">Design and completion of the Greenway from </w:t>
            </w:r>
            <w:proofErr w:type="gramStart"/>
            <w:r>
              <w:rPr>
                <w:color w:val="000000"/>
              </w:rPr>
              <w:t>North East</w:t>
            </w:r>
            <w:proofErr w:type="gramEnd"/>
            <w:r>
              <w:rPr>
                <w:color w:val="000000"/>
              </w:rPr>
              <w:t xml:space="preserve"> Railroad Avenue to the Bernice Jackson Park.</w:t>
            </w:r>
          </w:p>
        </w:tc>
      </w:tr>
      <w:tr w:rsidR="004E7119" w14:paraId="3F6ABD97" w14:textId="77777777">
        <w:trPr>
          <w:cantSplit/>
        </w:trPr>
        <w:tc>
          <w:tcPr>
            <w:tcW w:w="0" w:type="auto"/>
            <w:vAlign w:val="bottom"/>
          </w:tcPr>
          <w:p w14:paraId="662BE4C6" w14:textId="77777777" w:rsidR="004E7119" w:rsidRDefault="002A3363">
            <w:pPr>
              <w:spacing w:beforeAutospacing="1" w:afterAutospacing="1"/>
            </w:pPr>
            <w:r>
              <w:rPr>
                <w:color w:val="000000"/>
              </w:rPr>
              <w:t>West Canaveral Groves Neighborhood</w:t>
            </w:r>
          </w:p>
        </w:tc>
        <w:tc>
          <w:tcPr>
            <w:tcW w:w="0" w:type="auto"/>
            <w:vAlign w:val="bottom"/>
          </w:tcPr>
          <w:p w14:paraId="3CF4630F" w14:textId="5B4FB3AD" w:rsidR="004E7119" w:rsidRDefault="002A3363">
            <w:pPr>
              <w:spacing w:beforeAutospacing="1" w:afterAutospacing="1"/>
            </w:pPr>
            <w:r>
              <w:rPr>
                <w:color w:val="000000"/>
              </w:rPr>
              <w:t xml:space="preserve"> </w:t>
            </w:r>
            <w:r w:rsidR="001A5FE1">
              <w:rPr>
                <w:color w:val="000000"/>
              </w:rPr>
              <w:t>13</w:t>
            </w:r>
          </w:p>
        </w:tc>
        <w:tc>
          <w:tcPr>
            <w:tcW w:w="0" w:type="auto"/>
            <w:vAlign w:val="bottom"/>
          </w:tcPr>
          <w:p w14:paraId="06891C35" w14:textId="4E84144F" w:rsidR="004E7119" w:rsidRPr="0081738B" w:rsidRDefault="001A5FE1">
            <w:pPr>
              <w:spacing w:beforeAutospacing="1" w:afterAutospacing="1"/>
            </w:pPr>
            <w:r>
              <w:rPr>
                <w:color w:val="000000"/>
              </w:rPr>
              <w:t>7</w:t>
            </w:r>
            <w:r w:rsidR="002A3363" w:rsidRPr="0081738B">
              <w:rPr>
                <w:color w:val="000000"/>
              </w:rPr>
              <w:t>5</w:t>
            </w:r>
          </w:p>
        </w:tc>
        <w:tc>
          <w:tcPr>
            <w:tcW w:w="0" w:type="auto"/>
            <w:vAlign w:val="bottom"/>
          </w:tcPr>
          <w:p w14:paraId="550BC3FE" w14:textId="77777777" w:rsidR="004E7119" w:rsidRDefault="002A3363">
            <w:pPr>
              <w:spacing w:beforeAutospacing="1" w:afterAutospacing="1"/>
            </w:pPr>
            <w:r>
              <w:rPr>
                <w:color w:val="000000"/>
              </w:rPr>
              <w:t>Section 108 Loan Payment</w:t>
            </w:r>
          </w:p>
        </w:tc>
      </w:tr>
      <w:tr w:rsidR="004E7119" w14:paraId="297E9408" w14:textId="77777777">
        <w:trPr>
          <w:cantSplit/>
        </w:trPr>
        <w:tc>
          <w:tcPr>
            <w:tcW w:w="0" w:type="auto"/>
            <w:vAlign w:val="bottom"/>
          </w:tcPr>
          <w:p w14:paraId="7CF82D48" w14:textId="77777777" w:rsidR="004E7119" w:rsidRDefault="002A3363">
            <w:pPr>
              <w:spacing w:beforeAutospacing="1" w:afterAutospacing="1"/>
            </w:pPr>
            <w:r>
              <w:rPr>
                <w:color w:val="000000"/>
              </w:rPr>
              <w:t>West Cocoa Neighborhood</w:t>
            </w:r>
          </w:p>
        </w:tc>
        <w:tc>
          <w:tcPr>
            <w:tcW w:w="0" w:type="auto"/>
            <w:vAlign w:val="bottom"/>
          </w:tcPr>
          <w:p w14:paraId="57EE24C8" w14:textId="31F340D5" w:rsidR="004E7119" w:rsidRDefault="001A5FE1">
            <w:pPr>
              <w:spacing w:beforeAutospacing="1" w:afterAutospacing="1"/>
            </w:pPr>
            <w:r>
              <w:rPr>
                <w:color w:val="000000"/>
              </w:rPr>
              <w:t>0</w:t>
            </w:r>
          </w:p>
        </w:tc>
        <w:tc>
          <w:tcPr>
            <w:tcW w:w="0" w:type="auto"/>
            <w:vAlign w:val="bottom"/>
          </w:tcPr>
          <w:p w14:paraId="6605EFC9" w14:textId="77777777" w:rsidR="004E7119" w:rsidRDefault="002A3363">
            <w:pPr>
              <w:spacing w:beforeAutospacing="1" w:afterAutospacing="1"/>
            </w:pPr>
            <w:r>
              <w:rPr>
                <w:color w:val="000000"/>
              </w:rPr>
              <w:t>0</w:t>
            </w:r>
          </w:p>
        </w:tc>
        <w:tc>
          <w:tcPr>
            <w:tcW w:w="0" w:type="auto"/>
            <w:vAlign w:val="bottom"/>
          </w:tcPr>
          <w:p w14:paraId="0CCCD7C7" w14:textId="77777777" w:rsidR="004E7119" w:rsidRDefault="002A3363">
            <w:pPr>
              <w:spacing w:beforeAutospacing="1" w:afterAutospacing="1"/>
            </w:pPr>
            <w:r>
              <w:rPr>
                <w:color w:val="000000"/>
              </w:rPr>
              <w:t xml:space="preserve"> </w:t>
            </w:r>
          </w:p>
        </w:tc>
      </w:tr>
    </w:tbl>
    <w:p w14:paraId="7801CD38" w14:textId="7837F08B" w:rsidR="004E7119" w:rsidRDefault="002A3363">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sidR="00A85082">
        <w:rPr>
          <w:rFonts w:asciiTheme="minorHAnsi" w:hAnsiTheme="minorHAnsi"/>
          <w:noProof/>
        </w:rPr>
        <w:t>4</w:t>
      </w:r>
      <w:r>
        <w:rPr>
          <w:rFonts w:asciiTheme="minorHAnsi" w:hAnsiTheme="minorHAnsi"/>
        </w:rPr>
        <w:fldChar w:fldCharType="end"/>
      </w:r>
      <w:r>
        <w:rPr>
          <w:rFonts w:asciiTheme="minorHAnsi" w:hAnsiTheme="minorHAnsi"/>
        </w:rPr>
        <w:t xml:space="preserve"> – Identify the geographic distribution and location of investments</w:t>
      </w:r>
    </w:p>
    <w:p w14:paraId="01CDA6F0" w14:textId="77777777" w:rsidR="00434ED6" w:rsidRDefault="002A3363" w:rsidP="00434ED6">
      <w:pPr>
        <w:widowControl w:val="0"/>
        <w:spacing w:line="204" w:lineRule="auto"/>
        <w:rPr>
          <w:b/>
          <w:sz w:val="24"/>
          <w:szCs w:val="24"/>
        </w:rPr>
      </w:pPr>
      <w:r>
        <w:rPr>
          <w:b/>
          <w:sz w:val="24"/>
          <w:szCs w:val="24"/>
        </w:rPr>
        <w:t>Narrative</w:t>
      </w:r>
    </w:p>
    <w:p w14:paraId="52381888" w14:textId="303B5BF4" w:rsidR="002D7CFD" w:rsidRPr="002D7CFD" w:rsidRDefault="002D7CFD" w:rsidP="002D7CFD">
      <w:pPr>
        <w:rPr>
          <w:rFonts w:cs="Calibri"/>
          <w:sz w:val="24"/>
          <w:szCs w:val="24"/>
        </w:rPr>
      </w:pPr>
      <w:r w:rsidRPr="002D7CFD">
        <w:rPr>
          <w:rFonts w:cs="Calibri"/>
          <w:sz w:val="24"/>
          <w:szCs w:val="24"/>
        </w:rPr>
        <w:t xml:space="preserve">CDBG Section 108 loan repayments were made for the West Canaveral Groves waterline project and for the Melbourne Health Department for the projects providing a suitable living </w:t>
      </w:r>
      <w:r w:rsidRPr="002D7CFD">
        <w:rPr>
          <w:rFonts w:cs="Calibri"/>
          <w:sz w:val="24"/>
          <w:szCs w:val="24"/>
        </w:rPr>
        <w:lastRenderedPageBreak/>
        <w:t xml:space="preserve">environment.  The Health Department is run by the State of Florida to provide health services to the indigent residents of Brevard County; particularly in the Melbourne/Palm Bay area. This project was completed on December 30, 2016. For the current fiscal year, the loan payment for the </w:t>
      </w:r>
      <w:proofErr w:type="gramStart"/>
      <w:r w:rsidRPr="002D7CFD">
        <w:rPr>
          <w:rFonts w:cs="Calibri"/>
          <w:sz w:val="24"/>
          <w:szCs w:val="24"/>
        </w:rPr>
        <w:t>Health</w:t>
      </w:r>
      <w:proofErr w:type="gramEnd"/>
      <w:r w:rsidRPr="002D7CFD">
        <w:rPr>
          <w:rFonts w:cs="Calibri"/>
          <w:sz w:val="24"/>
          <w:szCs w:val="24"/>
        </w:rPr>
        <w:t xml:space="preserve"> department was $105,907.58. The West Canaveral Groves project was approximately 19,000 feet of water main that was constructed along Satellite Boulevard in the West Canaveral Groves area. This potable water source will provide clean healthy water to residents who used wells as their primary source of water for personal hygiene and cleaning. This project was completed on September 6, 2018. The </w:t>
      </w:r>
      <w:r w:rsidR="005E46D8">
        <w:rPr>
          <w:rFonts w:cs="Calibri"/>
          <w:sz w:val="24"/>
          <w:szCs w:val="24"/>
        </w:rPr>
        <w:t xml:space="preserve">final </w:t>
      </w:r>
      <w:r w:rsidRPr="002D7CFD">
        <w:rPr>
          <w:rFonts w:cs="Calibri"/>
          <w:sz w:val="24"/>
          <w:szCs w:val="24"/>
        </w:rPr>
        <w:t>loan payment for the West Canaveral Groves waterline was of $1,079,424.72 which paid off the loan and now allows the West Canaveral Groves strategy area to put forth projects for their community.  The Sharpes Greenway Sidewalk/Exercise Trail was completed with payments of $267,000.91 for the purpose of creating accessibility of a suitable living environment.  The project was completed on February 6, 2024. The completion of the project created a sidewalk and exercise trail that connects to the community at the rear of the park.  This allows a safe pedestrian community access point to the park instead of the main access point on U.S. Highway 1 for the neighborhoods to the west of the park.</w:t>
      </w:r>
    </w:p>
    <w:p w14:paraId="4D11F318" w14:textId="77777777" w:rsidR="002D7CFD" w:rsidRDefault="002D7CFD" w:rsidP="002D7CFD">
      <w:pPr>
        <w:rPr>
          <w:rFonts w:ascii="Arial" w:hAnsi="Arial" w:cs="Arial"/>
          <w:sz w:val="24"/>
          <w:szCs w:val="24"/>
        </w:rPr>
      </w:pPr>
    </w:p>
    <w:p w14:paraId="6AEE530C" w14:textId="77777777" w:rsidR="004E7119" w:rsidRDefault="002A3363">
      <w:pPr>
        <w:pageBreakBefore/>
        <w:widowControl w:val="0"/>
        <w:spacing w:line="240" w:lineRule="auto"/>
        <w:rPr>
          <w:b/>
          <w:sz w:val="24"/>
          <w:szCs w:val="24"/>
        </w:rPr>
      </w:pPr>
      <w:r>
        <w:rPr>
          <w:b/>
          <w:sz w:val="24"/>
          <w:szCs w:val="24"/>
        </w:rPr>
        <w:lastRenderedPageBreak/>
        <w:t>Leveraging</w:t>
      </w:r>
    </w:p>
    <w:p w14:paraId="53F4EB78" w14:textId="77777777" w:rsidR="004E7119" w:rsidRDefault="002A3363">
      <w:pPr>
        <w:widowControl w:val="0"/>
        <w:spacing w:line="240" w:lineRule="auto"/>
        <w:rPr>
          <w:b/>
          <w:sz w:val="24"/>
          <w:szCs w:val="24"/>
        </w:rPr>
      </w:pPr>
      <w:r>
        <w:rPr>
          <w:b/>
          <w:sz w:val="24"/>
          <w:szCs w:val="24"/>
        </w:rPr>
        <w:t xml:space="preserve">Explain how federal funds  leveraged additional resources (private, </w:t>
      </w:r>
      <w:proofErr w:type="gramStart"/>
      <w:r>
        <w:rPr>
          <w:b/>
          <w:sz w:val="24"/>
          <w:szCs w:val="24"/>
        </w:rPr>
        <w:t>state</w:t>
      </w:r>
      <w:proofErr w:type="gramEnd"/>
      <w:r>
        <w:rPr>
          <w:b/>
          <w:sz w:val="24"/>
          <w:szCs w:val="24"/>
        </w:rPr>
        <w:t xml:space="preserve"> and local funds), including a description of how matching requirements were satisfied, as well as how any publicly owned land or property located within the jurisdiction that were used to address the needs identified in the plan.</w:t>
      </w:r>
    </w:p>
    <w:p w14:paraId="75FA3B06" w14:textId="2096950B" w:rsidR="004E7119" w:rsidRDefault="002A3363">
      <w:pPr>
        <w:widowControl w:val="0"/>
        <w:spacing w:beforeAutospacing="1" w:afterAutospacing="1"/>
        <w:rPr>
          <w:sz w:val="24"/>
          <w:szCs w:val="24"/>
        </w:rPr>
      </w:pPr>
      <w:r>
        <w:rPr>
          <w:sz w:val="24"/>
          <w:szCs w:val="24"/>
        </w:rPr>
        <w:t xml:space="preserve">This year, as in previous years, the Consortium calculates federal HOME Investment Partnerships Program Match requirements by recording the amount of State Housing Initiatives Partnership Program funds allocated to homebuyers and homeowners. The twenty-five (25) percent match requirement in the amount </w:t>
      </w:r>
      <w:r w:rsidRPr="00947968">
        <w:rPr>
          <w:sz w:val="24"/>
          <w:szCs w:val="24"/>
        </w:rPr>
        <w:t>of $</w:t>
      </w:r>
      <w:r w:rsidR="00947968" w:rsidRPr="00947968">
        <w:rPr>
          <w:sz w:val="24"/>
          <w:szCs w:val="24"/>
        </w:rPr>
        <w:t>197</w:t>
      </w:r>
      <w:r w:rsidR="00947968">
        <w:rPr>
          <w:sz w:val="24"/>
          <w:szCs w:val="24"/>
        </w:rPr>
        <w:t>,523.37</w:t>
      </w:r>
      <w:r>
        <w:rPr>
          <w:sz w:val="24"/>
          <w:szCs w:val="24"/>
        </w:rPr>
        <w:t xml:space="preserve"> will be satisfied from the excess match funds from the prior federal fiscal year (State Housing Initiatives Partnership Program funds); therefore, no additional funds are needed in table 6.</w:t>
      </w:r>
    </w:p>
    <w:p w14:paraId="1BB74C9E" w14:textId="77777777" w:rsidR="004E7119" w:rsidRDefault="002A3363">
      <w:pPr>
        <w:widowControl w:val="0"/>
        <w:spacing w:beforeAutospacing="1" w:afterAutospacing="1"/>
        <w:rPr>
          <w:sz w:val="24"/>
          <w:szCs w:val="24"/>
        </w:rPr>
      </w:pPr>
      <w:r>
        <w:rPr>
          <w:sz w:val="24"/>
          <w:szCs w:val="24"/>
        </w:rPr>
        <w:t>Understanding the need for additional funding, the Consortium leverages both Community Development Block Grant and HOME Investment Partnerships Program funds with other state, local, and private funding. This has increased our level of services. </w:t>
      </w:r>
    </w:p>
    <w:p w14:paraId="4468CFCE" w14:textId="33B9DAF0" w:rsidR="000E5653" w:rsidRPr="00BC6D5E" w:rsidRDefault="000E5653">
      <w:pPr>
        <w:widowControl w:val="0"/>
        <w:spacing w:beforeAutospacing="1" w:afterAutospacing="1"/>
        <w:rPr>
          <w:sz w:val="24"/>
          <w:szCs w:val="24"/>
        </w:rPr>
      </w:pPr>
      <w:r w:rsidRPr="00894F96">
        <w:rPr>
          <w:rFonts w:cs="Arial"/>
          <w:bCs/>
          <w:sz w:val="24"/>
          <w:szCs w:val="24"/>
        </w:rPr>
        <w:t>Continued review and management of municipal-owned properties that are suitable for housing and set-aside for future infill housing units will eventually be used to address the needs identified in the plan.</w:t>
      </w:r>
    </w:p>
    <w:p w14:paraId="6203118D" w14:textId="77777777" w:rsidR="004E7119" w:rsidRDefault="004E7119">
      <w:pPr>
        <w:widowControl w:val="0"/>
        <w:spacing w:after="0" w:line="240" w:lineRule="auto"/>
        <w:rPr>
          <w:sz w:val="24"/>
          <w:szCs w:val="24"/>
        </w:rPr>
      </w:pPr>
    </w:p>
    <w:p w14:paraId="2AC54B5B" w14:textId="77777777" w:rsidR="004E7119" w:rsidRDefault="004E7119">
      <w:pPr>
        <w:spacing w:after="0" w:line="240" w:lineRule="auto"/>
        <w:rPr>
          <w:b/>
        </w:rPr>
      </w:pPr>
    </w:p>
    <w:p w14:paraId="6DE8A292" w14:textId="77777777" w:rsidR="004E7119" w:rsidRDefault="004E7119">
      <w:pPr>
        <w:widowControl w:val="0"/>
        <w:spacing w:line="204" w:lineRule="auto"/>
        <w:rPr>
          <w:rFonts w:cs="Arial"/>
        </w:r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65"/>
        <w:gridCol w:w="1685"/>
      </w:tblGrid>
      <w:tr w:rsidR="004E7119" w14:paraId="09EB136B" w14:textId="77777777">
        <w:trPr>
          <w:cantSplit/>
          <w:tblHeader/>
        </w:trPr>
        <w:tc>
          <w:tcPr>
            <w:tcW w:w="9576" w:type="dxa"/>
            <w:gridSpan w:val="2"/>
          </w:tcPr>
          <w:p w14:paraId="10B1A3F1" w14:textId="77777777" w:rsidR="004E7119" w:rsidRDefault="002A3363">
            <w:pPr>
              <w:keepNext/>
              <w:widowControl w:val="0"/>
              <w:spacing w:after="0" w:line="240" w:lineRule="auto"/>
              <w:jc w:val="center"/>
              <w:rPr>
                <w:rFonts w:cs="Arial"/>
              </w:rPr>
            </w:pPr>
            <w:r>
              <w:rPr>
                <w:b/>
              </w:rPr>
              <w:t>Fiscal Year Summary – HOME Match</w:t>
            </w:r>
          </w:p>
        </w:tc>
      </w:tr>
      <w:tr w:rsidR="004E7119" w14:paraId="0D1E7A90" w14:textId="77777777">
        <w:trPr>
          <w:cantSplit/>
        </w:trPr>
        <w:tc>
          <w:tcPr>
            <w:tcW w:w="0" w:type="auto"/>
            <w:vAlign w:val="bottom"/>
          </w:tcPr>
          <w:p w14:paraId="1A54B28F" w14:textId="77777777" w:rsidR="004E7119" w:rsidRDefault="002A3363">
            <w:pPr>
              <w:spacing w:beforeAutospacing="1" w:afterAutospacing="1"/>
            </w:pPr>
            <w:r>
              <w:rPr>
                <w:color w:val="000000"/>
              </w:rPr>
              <w:t>1. Excess match from prior Federal fiscal year</w:t>
            </w:r>
          </w:p>
        </w:tc>
        <w:tc>
          <w:tcPr>
            <w:tcW w:w="0" w:type="auto"/>
            <w:vAlign w:val="bottom"/>
          </w:tcPr>
          <w:p w14:paraId="3E52E4C0" w14:textId="6A495B8E" w:rsidR="004E7119" w:rsidRDefault="002A3363">
            <w:pPr>
              <w:spacing w:beforeAutospacing="1" w:afterAutospacing="1"/>
              <w:jc w:val="right"/>
            </w:pPr>
            <w:r>
              <w:rPr>
                <w:color w:val="000000"/>
              </w:rPr>
              <w:t>14,</w:t>
            </w:r>
            <w:r w:rsidR="00AA1D07">
              <w:rPr>
                <w:color w:val="000000"/>
              </w:rPr>
              <w:t>935,106</w:t>
            </w:r>
          </w:p>
        </w:tc>
      </w:tr>
      <w:tr w:rsidR="004E7119" w14:paraId="6E419867" w14:textId="77777777">
        <w:trPr>
          <w:cantSplit/>
        </w:trPr>
        <w:tc>
          <w:tcPr>
            <w:tcW w:w="0" w:type="auto"/>
            <w:vAlign w:val="bottom"/>
          </w:tcPr>
          <w:p w14:paraId="65508D80" w14:textId="77777777" w:rsidR="004E7119" w:rsidRDefault="002A3363">
            <w:pPr>
              <w:spacing w:beforeAutospacing="1" w:afterAutospacing="1"/>
            </w:pPr>
            <w:r>
              <w:rPr>
                <w:color w:val="000000"/>
              </w:rPr>
              <w:t>2. Match contributed during current Federal fiscal year</w:t>
            </w:r>
          </w:p>
        </w:tc>
        <w:tc>
          <w:tcPr>
            <w:tcW w:w="0" w:type="auto"/>
            <w:vAlign w:val="bottom"/>
          </w:tcPr>
          <w:p w14:paraId="5E514143" w14:textId="7C34EE4C" w:rsidR="004E7119" w:rsidRDefault="00AA1D07">
            <w:pPr>
              <w:spacing w:beforeAutospacing="1" w:afterAutospacing="1"/>
              <w:jc w:val="right"/>
            </w:pPr>
            <w:r>
              <w:rPr>
                <w:color w:val="000000"/>
              </w:rPr>
              <w:t>5,068.38</w:t>
            </w:r>
          </w:p>
        </w:tc>
      </w:tr>
      <w:tr w:rsidR="004E7119" w14:paraId="49B3D05B" w14:textId="77777777">
        <w:trPr>
          <w:cantSplit/>
        </w:trPr>
        <w:tc>
          <w:tcPr>
            <w:tcW w:w="0" w:type="auto"/>
            <w:vAlign w:val="bottom"/>
          </w:tcPr>
          <w:p w14:paraId="6580AB4A" w14:textId="77777777" w:rsidR="004E7119" w:rsidRDefault="002A3363">
            <w:pPr>
              <w:spacing w:beforeAutospacing="1" w:afterAutospacing="1"/>
            </w:pPr>
            <w:r>
              <w:rPr>
                <w:color w:val="000000"/>
              </w:rPr>
              <w:t>3. Total match available for current Federal fiscal year (Line 1 plus Line 2)</w:t>
            </w:r>
          </w:p>
        </w:tc>
        <w:tc>
          <w:tcPr>
            <w:tcW w:w="0" w:type="auto"/>
            <w:vAlign w:val="bottom"/>
          </w:tcPr>
          <w:p w14:paraId="14382A19" w14:textId="6FA88C24" w:rsidR="004E7119" w:rsidRDefault="00AA1D07">
            <w:pPr>
              <w:spacing w:beforeAutospacing="1" w:afterAutospacing="1"/>
              <w:jc w:val="right"/>
            </w:pPr>
            <w:r>
              <w:rPr>
                <w:color w:val="000000"/>
              </w:rPr>
              <w:t>14,940,174.38</w:t>
            </w:r>
          </w:p>
        </w:tc>
      </w:tr>
      <w:tr w:rsidR="004E7119" w14:paraId="7934B59E" w14:textId="77777777">
        <w:trPr>
          <w:cantSplit/>
        </w:trPr>
        <w:tc>
          <w:tcPr>
            <w:tcW w:w="0" w:type="auto"/>
            <w:vAlign w:val="bottom"/>
          </w:tcPr>
          <w:p w14:paraId="124D13A5" w14:textId="77777777" w:rsidR="004E7119" w:rsidRDefault="002A3363">
            <w:pPr>
              <w:spacing w:beforeAutospacing="1" w:afterAutospacing="1"/>
            </w:pPr>
            <w:r>
              <w:rPr>
                <w:color w:val="000000"/>
              </w:rPr>
              <w:t>4. Match liability for current Federal fiscal year</w:t>
            </w:r>
          </w:p>
        </w:tc>
        <w:tc>
          <w:tcPr>
            <w:tcW w:w="0" w:type="auto"/>
            <w:vAlign w:val="bottom"/>
          </w:tcPr>
          <w:p w14:paraId="31F75997" w14:textId="3441DC22" w:rsidR="004E7119" w:rsidRDefault="00AA1D07">
            <w:pPr>
              <w:spacing w:beforeAutospacing="1" w:afterAutospacing="1"/>
              <w:jc w:val="right"/>
            </w:pPr>
            <w:r>
              <w:rPr>
                <w:color w:val="000000"/>
              </w:rPr>
              <w:t>197,523.37</w:t>
            </w:r>
          </w:p>
        </w:tc>
      </w:tr>
      <w:tr w:rsidR="004E7119" w14:paraId="02771356" w14:textId="77777777">
        <w:trPr>
          <w:cantSplit/>
        </w:trPr>
        <w:tc>
          <w:tcPr>
            <w:tcW w:w="0" w:type="auto"/>
            <w:vAlign w:val="bottom"/>
          </w:tcPr>
          <w:p w14:paraId="76285E57" w14:textId="77777777" w:rsidR="004E7119" w:rsidRDefault="002A3363">
            <w:pPr>
              <w:spacing w:beforeAutospacing="1" w:afterAutospacing="1"/>
            </w:pPr>
            <w:r>
              <w:rPr>
                <w:color w:val="000000"/>
              </w:rPr>
              <w:t>5. Excess match carried over to next Federal fiscal year (Line 3 minus Line 4)</w:t>
            </w:r>
          </w:p>
        </w:tc>
        <w:tc>
          <w:tcPr>
            <w:tcW w:w="0" w:type="auto"/>
            <w:vAlign w:val="bottom"/>
          </w:tcPr>
          <w:p w14:paraId="05B817D6" w14:textId="0FE0D7CD" w:rsidR="004E7119" w:rsidRDefault="00AA1D07">
            <w:pPr>
              <w:spacing w:beforeAutospacing="1" w:afterAutospacing="1"/>
              <w:jc w:val="right"/>
            </w:pPr>
            <w:r>
              <w:rPr>
                <w:color w:val="000000"/>
              </w:rPr>
              <w:t>15,137,697.75</w:t>
            </w:r>
          </w:p>
        </w:tc>
      </w:tr>
    </w:tbl>
    <w:p w14:paraId="2D2D6C43" w14:textId="5899BA2F" w:rsidR="004E7119" w:rsidRDefault="002A3363">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sidR="00A85082">
        <w:rPr>
          <w:rFonts w:asciiTheme="minorHAnsi" w:hAnsiTheme="minorHAnsi"/>
          <w:noProof/>
        </w:rPr>
        <w:t>5</w:t>
      </w:r>
      <w:r>
        <w:rPr>
          <w:rFonts w:asciiTheme="minorHAnsi" w:hAnsiTheme="minorHAnsi"/>
        </w:rPr>
        <w:fldChar w:fldCharType="end"/>
      </w:r>
      <w:r>
        <w:rPr>
          <w:rFonts w:asciiTheme="minorHAnsi" w:hAnsiTheme="minorHAnsi"/>
        </w:rPr>
        <w:t xml:space="preserve"> – Fiscal Year Summary - HOME Match Report</w:t>
      </w:r>
    </w:p>
    <w:p w14:paraId="429F0BA7" w14:textId="77777777" w:rsidR="004E7119" w:rsidRDefault="004E7119">
      <w:pPr>
        <w:widowControl w:val="0"/>
        <w:spacing w:line="204" w:lineRule="auto"/>
        <w:rPr>
          <w:rFonts w:cs="Arial"/>
        </w:rPr>
      </w:pPr>
    </w:p>
    <w:p w14:paraId="6A8ED0D2" w14:textId="77777777" w:rsidR="004E7119" w:rsidRDefault="004E7119">
      <w:pPr>
        <w:widowControl w:val="0"/>
        <w:spacing w:line="204" w:lineRule="auto"/>
        <w:rPr>
          <w:rFonts w:cs="Arial"/>
        </w:rPr>
      </w:pPr>
    </w:p>
    <w:p w14:paraId="03EDE940" w14:textId="77777777" w:rsidR="004E7119" w:rsidRDefault="004E7119">
      <w:pPr>
        <w:keepNext/>
        <w:spacing w:after="0" w:line="240" w:lineRule="auto"/>
        <w:rPr>
          <w:b/>
          <w:sz w:val="24"/>
          <w:szCs w:val="24"/>
        </w:rPr>
        <w:sectPr w:rsidR="004E7119">
          <w:pgSz w:w="12240" w:h="15840" w:code="1"/>
          <w:pgMar w:top="1440" w:right="1440" w:bottom="1440" w:left="1440" w:header="720" w:footer="720" w:gutter="0"/>
          <w:cols w:space="720"/>
          <w:docGrid w:linePitch="360"/>
        </w:sect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950"/>
        <w:gridCol w:w="1350"/>
        <w:gridCol w:w="1170"/>
        <w:gridCol w:w="1260"/>
        <w:gridCol w:w="1464"/>
        <w:gridCol w:w="1439"/>
        <w:gridCol w:w="1439"/>
        <w:gridCol w:w="1439"/>
        <w:gridCol w:w="1439"/>
      </w:tblGrid>
      <w:tr w:rsidR="004E7119" w14:paraId="534DC165" w14:textId="77777777" w:rsidTr="001A304E">
        <w:trPr>
          <w:cantSplit/>
          <w:tblHeader/>
        </w:trPr>
        <w:tc>
          <w:tcPr>
            <w:tcW w:w="12950" w:type="dxa"/>
            <w:gridSpan w:val="9"/>
          </w:tcPr>
          <w:p w14:paraId="5919F15F" w14:textId="77777777" w:rsidR="004E7119" w:rsidRDefault="002A3363">
            <w:pPr>
              <w:keepNext/>
              <w:widowControl w:val="0"/>
              <w:tabs>
                <w:tab w:val="left" w:pos="405"/>
                <w:tab w:val="center" w:pos="6480"/>
              </w:tabs>
              <w:spacing w:after="0" w:line="240" w:lineRule="auto"/>
              <w:rPr>
                <w:b/>
              </w:rPr>
            </w:pPr>
            <w:r>
              <w:rPr>
                <w:b/>
              </w:rPr>
              <w:lastRenderedPageBreak/>
              <w:tab/>
            </w:r>
            <w:r>
              <w:rPr>
                <w:b/>
              </w:rPr>
              <w:tab/>
              <w:t>Match Contribution for the Federal Fiscal Year</w:t>
            </w:r>
          </w:p>
        </w:tc>
      </w:tr>
      <w:tr w:rsidR="004E7119" w14:paraId="2551CA95" w14:textId="77777777" w:rsidTr="001A304E">
        <w:trPr>
          <w:cantSplit/>
          <w:tblHeader/>
        </w:trPr>
        <w:tc>
          <w:tcPr>
            <w:tcW w:w="1950" w:type="dxa"/>
          </w:tcPr>
          <w:p w14:paraId="69013181" w14:textId="77777777" w:rsidR="004E7119" w:rsidRDefault="002A3363">
            <w:pPr>
              <w:keepNext/>
              <w:widowControl w:val="0"/>
              <w:spacing w:after="0" w:line="240" w:lineRule="auto"/>
              <w:jc w:val="center"/>
              <w:rPr>
                <w:b/>
                <w:sz w:val="20"/>
                <w:szCs w:val="20"/>
              </w:rPr>
            </w:pPr>
            <w:r>
              <w:rPr>
                <w:b/>
                <w:sz w:val="20"/>
                <w:szCs w:val="20"/>
              </w:rPr>
              <w:t>Project No. or Other ID</w:t>
            </w:r>
          </w:p>
        </w:tc>
        <w:tc>
          <w:tcPr>
            <w:tcW w:w="1350" w:type="dxa"/>
          </w:tcPr>
          <w:p w14:paraId="6DD51EB1" w14:textId="77777777" w:rsidR="004E7119" w:rsidRDefault="002A3363">
            <w:pPr>
              <w:keepNext/>
              <w:widowControl w:val="0"/>
              <w:spacing w:after="0" w:line="240" w:lineRule="auto"/>
              <w:jc w:val="center"/>
              <w:rPr>
                <w:b/>
                <w:sz w:val="20"/>
                <w:szCs w:val="20"/>
              </w:rPr>
            </w:pPr>
            <w:r>
              <w:rPr>
                <w:b/>
                <w:sz w:val="20"/>
                <w:szCs w:val="20"/>
              </w:rPr>
              <w:t>Date of Contribution</w:t>
            </w:r>
          </w:p>
        </w:tc>
        <w:tc>
          <w:tcPr>
            <w:tcW w:w="1170" w:type="dxa"/>
          </w:tcPr>
          <w:p w14:paraId="24075DAB" w14:textId="77777777" w:rsidR="004E7119" w:rsidRDefault="002A3363">
            <w:pPr>
              <w:keepNext/>
              <w:widowControl w:val="0"/>
              <w:spacing w:after="0" w:line="240" w:lineRule="auto"/>
              <w:jc w:val="center"/>
              <w:rPr>
                <w:b/>
                <w:sz w:val="20"/>
                <w:szCs w:val="20"/>
              </w:rPr>
            </w:pPr>
            <w:r>
              <w:rPr>
                <w:b/>
                <w:sz w:val="20"/>
                <w:szCs w:val="20"/>
              </w:rPr>
              <w:t>Cash</w:t>
            </w:r>
          </w:p>
          <w:p w14:paraId="49A13C37" w14:textId="77777777" w:rsidR="004E7119" w:rsidRDefault="002A3363">
            <w:pPr>
              <w:keepNext/>
              <w:widowControl w:val="0"/>
              <w:spacing w:after="0" w:line="240" w:lineRule="auto"/>
              <w:jc w:val="center"/>
              <w:rPr>
                <w:b/>
                <w:sz w:val="20"/>
                <w:szCs w:val="20"/>
              </w:rPr>
            </w:pPr>
            <w:r>
              <w:rPr>
                <w:b/>
                <w:sz w:val="20"/>
                <w:szCs w:val="20"/>
              </w:rPr>
              <w:t>(non-Federal sources)</w:t>
            </w:r>
          </w:p>
        </w:tc>
        <w:tc>
          <w:tcPr>
            <w:tcW w:w="1260" w:type="dxa"/>
          </w:tcPr>
          <w:p w14:paraId="498FF4AE" w14:textId="77777777" w:rsidR="004E7119" w:rsidRDefault="002A3363">
            <w:pPr>
              <w:keepNext/>
              <w:widowControl w:val="0"/>
              <w:spacing w:after="0" w:line="240" w:lineRule="auto"/>
              <w:jc w:val="center"/>
              <w:rPr>
                <w:b/>
                <w:sz w:val="20"/>
                <w:szCs w:val="20"/>
              </w:rPr>
            </w:pPr>
            <w:r>
              <w:rPr>
                <w:b/>
                <w:sz w:val="20"/>
                <w:szCs w:val="20"/>
              </w:rPr>
              <w:t>Foregone Taxes, Fees, Charges</w:t>
            </w:r>
          </w:p>
        </w:tc>
        <w:tc>
          <w:tcPr>
            <w:tcW w:w="1464" w:type="dxa"/>
          </w:tcPr>
          <w:p w14:paraId="32AA83DD" w14:textId="77777777" w:rsidR="004E7119" w:rsidRDefault="002A3363">
            <w:pPr>
              <w:keepNext/>
              <w:widowControl w:val="0"/>
              <w:spacing w:after="0" w:line="240" w:lineRule="auto"/>
              <w:jc w:val="center"/>
              <w:rPr>
                <w:b/>
                <w:sz w:val="20"/>
                <w:szCs w:val="20"/>
              </w:rPr>
            </w:pPr>
            <w:r>
              <w:rPr>
                <w:b/>
                <w:sz w:val="20"/>
                <w:szCs w:val="20"/>
              </w:rPr>
              <w:t>Appraised Land/Real Property</w:t>
            </w:r>
          </w:p>
        </w:tc>
        <w:tc>
          <w:tcPr>
            <w:tcW w:w="1439" w:type="dxa"/>
          </w:tcPr>
          <w:p w14:paraId="52918828" w14:textId="77777777" w:rsidR="004E7119" w:rsidRDefault="002A3363">
            <w:pPr>
              <w:keepNext/>
              <w:widowControl w:val="0"/>
              <w:spacing w:after="0" w:line="240" w:lineRule="auto"/>
              <w:jc w:val="center"/>
              <w:rPr>
                <w:b/>
                <w:sz w:val="20"/>
                <w:szCs w:val="20"/>
              </w:rPr>
            </w:pPr>
            <w:r>
              <w:rPr>
                <w:b/>
                <w:sz w:val="20"/>
                <w:szCs w:val="20"/>
              </w:rPr>
              <w:t>Required Infrastructure</w:t>
            </w:r>
          </w:p>
        </w:tc>
        <w:tc>
          <w:tcPr>
            <w:tcW w:w="1439" w:type="dxa"/>
          </w:tcPr>
          <w:p w14:paraId="34213C53" w14:textId="77777777" w:rsidR="004E7119" w:rsidRDefault="002A3363">
            <w:pPr>
              <w:keepNext/>
              <w:widowControl w:val="0"/>
              <w:spacing w:after="0" w:line="240" w:lineRule="auto"/>
              <w:jc w:val="center"/>
              <w:rPr>
                <w:b/>
                <w:sz w:val="20"/>
                <w:szCs w:val="20"/>
              </w:rPr>
            </w:pPr>
            <w:r>
              <w:rPr>
                <w:b/>
                <w:sz w:val="20"/>
                <w:szCs w:val="20"/>
              </w:rPr>
              <w:t>Site Preparation, Construction Materials, Donated labor</w:t>
            </w:r>
          </w:p>
        </w:tc>
        <w:tc>
          <w:tcPr>
            <w:tcW w:w="1439" w:type="dxa"/>
          </w:tcPr>
          <w:p w14:paraId="7A14152A" w14:textId="77777777" w:rsidR="004E7119" w:rsidRDefault="002A3363">
            <w:pPr>
              <w:keepNext/>
              <w:widowControl w:val="0"/>
              <w:spacing w:after="0" w:line="240" w:lineRule="auto"/>
              <w:jc w:val="center"/>
              <w:rPr>
                <w:b/>
                <w:sz w:val="20"/>
                <w:szCs w:val="20"/>
              </w:rPr>
            </w:pPr>
            <w:r>
              <w:rPr>
                <w:b/>
                <w:sz w:val="20"/>
                <w:szCs w:val="20"/>
              </w:rPr>
              <w:t>Bond Financing</w:t>
            </w:r>
          </w:p>
        </w:tc>
        <w:tc>
          <w:tcPr>
            <w:tcW w:w="1439" w:type="dxa"/>
          </w:tcPr>
          <w:p w14:paraId="6F7CE45E" w14:textId="77777777" w:rsidR="004E7119" w:rsidRDefault="002A3363">
            <w:pPr>
              <w:keepNext/>
              <w:widowControl w:val="0"/>
              <w:spacing w:after="0" w:line="240" w:lineRule="auto"/>
              <w:jc w:val="center"/>
              <w:rPr>
                <w:b/>
                <w:sz w:val="20"/>
                <w:szCs w:val="20"/>
              </w:rPr>
            </w:pPr>
            <w:r>
              <w:rPr>
                <w:b/>
                <w:sz w:val="20"/>
                <w:szCs w:val="20"/>
              </w:rPr>
              <w:t>Total Match</w:t>
            </w:r>
          </w:p>
        </w:tc>
      </w:tr>
      <w:tr w:rsidR="004E7119" w14:paraId="2593F0DD" w14:textId="77777777" w:rsidTr="001A304E">
        <w:trPr>
          <w:cantSplit/>
        </w:trPr>
        <w:tc>
          <w:tcPr>
            <w:tcW w:w="1950" w:type="dxa"/>
            <w:vAlign w:val="bottom"/>
          </w:tcPr>
          <w:p w14:paraId="4DD58747" w14:textId="39D3859E" w:rsidR="004E7119" w:rsidRPr="00B01BC7" w:rsidRDefault="001A304E">
            <w:pPr>
              <w:spacing w:beforeAutospacing="1" w:afterAutospacing="1"/>
              <w:jc w:val="right"/>
            </w:pPr>
            <w:r w:rsidRPr="00B01BC7">
              <w:t>493 Valerie Dr.</w:t>
            </w:r>
          </w:p>
        </w:tc>
        <w:tc>
          <w:tcPr>
            <w:tcW w:w="1350" w:type="dxa"/>
            <w:vAlign w:val="bottom"/>
          </w:tcPr>
          <w:p w14:paraId="13B37DC5" w14:textId="3426F558" w:rsidR="004E7119" w:rsidRPr="00B01BC7" w:rsidRDefault="001A304E">
            <w:pPr>
              <w:spacing w:beforeAutospacing="1" w:afterAutospacing="1"/>
              <w:jc w:val="right"/>
            </w:pPr>
            <w:r w:rsidRPr="00B01BC7">
              <w:t>8/29/24</w:t>
            </w:r>
          </w:p>
        </w:tc>
        <w:tc>
          <w:tcPr>
            <w:tcW w:w="1170" w:type="dxa"/>
            <w:vAlign w:val="bottom"/>
          </w:tcPr>
          <w:p w14:paraId="67ECB346" w14:textId="35D284C7" w:rsidR="004E7119" w:rsidRPr="00B01BC7" w:rsidRDefault="001A304E">
            <w:pPr>
              <w:spacing w:beforeAutospacing="1" w:afterAutospacing="1"/>
              <w:jc w:val="right"/>
            </w:pPr>
            <w:r w:rsidRPr="00B01BC7">
              <w:t>56,764.00</w:t>
            </w:r>
          </w:p>
        </w:tc>
        <w:tc>
          <w:tcPr>
            <w:tcW w:w="1260" w:type="dxa"/>
            <w:vAlign w:val="bottom"/>
          </w:tcPr>
          <w:p w14:paraId="7EA673EB" w14:textId="6056DFC7" w:rsidR="004E7119" w:rsidRPr="00B01BC7" w:rsidRDefault="004E7119">
            <w:pPr>
              <w:spacing w:beforeAutospacing="1" w:afterAutospacing="1"/>
              <w:jc w:val="right"/>
            </w:pPr>
          </w:p>
        </w:tc>
        <w:tc>
          <w:tcPr>
            <w:tcW w:w="1464" w:type="dxa"/>
            <w:vAlign w:val="bottom"/>
          </w:tcPr>
          <w:p w14:paraId="52BA095D" w14:textId="2580FC2C" w:rsidR="004E7119" w:rsidRPr="00B01BC7" w:rsidRDefault="004E7119">
            <w:pPr>
              <w:spacing w:beforeAutospacing="1" w:afterAutospacing="1"/>
              <w:jc w:val="right"/>
            </w:pPr>
          </w:p>
        </w:tc>
        <w:tc>
          <w:tcPr>
            <w:tcW w:w="1439" w:type="dxa"/>
            <w:vAlign w:val="bottom"/>
          </w:tcPr>
          <w:p w14:paraId="46060C87" w14:textId="62A66BC3" w:rsidR="004E7119" w:rsidRPr="00B01BC7" w:rsidRDefault="004E7119">
            <w:pPr>
              <w:spacing w:beforeAutospacing="1" w:afterAutospacing="1"/>
              <w:jc w:val="right"/>
            </w:pPr>
          </w:p>
        </w:tc>
        <w:tc>
          <w:tcPr>
            <w:tcW w:w="1439" w:type="dxa"/>
            <w:vAlign w:val="bottom"/>
          </w:tcPr>
          <w:p w14:paraId="711B656A" w14:textId="6DFECA5E" w:rsidR="004E7119" w:rsidRPr="00B01BC7" w:rsidRDefault="004E7119">
            <w:pPr>
              <w:spacing w:beforeAutospacing="1" w:afterAutospacing="1"/>
              <w:jc w:val="right"/>
            </w:pPr>
          </w:p>
        </w:tc>
        <w:tc>
          <w:tcPr>
            <w:tcW w:w="1439" w:type="dxa"/>
            <w:vAlign w:val="bottom"/>
          </w:tcPr>
          <w:p w14:paraId="430E938F" w14:textId="7FE42224" w:rsidR="004E7119" w:rsidRPr="00B01BC7" w:rsidRDefault="004E7119">
            <w:pPr>
              <w:spacing w:beforeAutospacing="1" w:afterAutospacing="1"/>
              <w:jc w:val="right"/>
            </w:pPr>
          </w:p>
        </w:tc>
        <w:tc>
          <w:tcPr>
            <w:tcW w:w="1439" w:type="dxa"/>
            <w:vAlign w:val="bottom"/>
          </w:tcPr>
          <w:p w14:paraId="213FBF20" w14:textId="29397980" w:rsidR="004E7119" w:rsidRPr="00B01BC7" w:rsidRDefault="001A304E">
            <w:pPr>
              <w:spacing w:beforeAutospacing="1" w:afterAutospacing="1"/>
              <w:jc w:val="right"/>
            </w:pPr>
            <w:r w:rsidRPr="00B01BC7">
              <w:t>$56,764.00</w:t>
            </w:r>
          </w:p>
        </w:tc>
      </w:tr>
      <w:tr w:rsidR="004E7119" w14:paraId="25DD33B6" w14:textId="77777777" w:rsidTr="001A304E">
        <w:trPr>
          <w:cantSplit/>
        </w:trPr>
        <w:tc>
          <w:tcPr>
            <w:tcW w:w="1950" w:type="dxa"/>
            <w:vAlign w:val="bottom"/>
          </w:tcPr>
          <w:p w14:paraId="378C17A4" w14:textId="48830F83" w:rsidR="004E7119" w:rsidRPr="00B01BC7" w:rsidRDefault="001A304E">
            <w:pPr>
              <w:spacing w:beforeAutospacing="1" w:afterAutospacing="1"/>
              <w:jc w:val="right"/>
            </w:pPr>
            <w:r w:rsidRPr="00B01BC7">
              <w:t>908 Kenilworth Ct</w:t>
            </w:r>
          </w:p>
        </w:tc>
        <w:tc>
          <w:tcPr>
            <w:tcW w:w="1350" w:type="dxa"/>
            <w:vAlign w:val="bottom"/>
          </w:tcPr>
          <w:p w14:paraId="1473C1C0" w14:textId="4A52F5C7" w:rsidR="004E7119" w:rsidRPr="00B01BC7" w:rsidRDefault="001A304E">
            <w:pPr>
              <w:spacing w:beforeAutospacing="1" w:afterAutospacing="1"/>
              <w:jc w:val="right"/>
            </w:pPr>
            <w:r w:rsidRPr="00B01BC7">
              <w:t>8/24/24</w:t>
            </w:r>
          </w:p>
        </w:tc>
        <w:tc>
          <w:tcPr>
            <w:tcW w:w="1170" w:type="dxa"/>
            <w:vAlign w:val="bottom"/>
          </w:tcPr>
          <w:p w14:paraId="37DCAE0E" w14:textId="5E8787B6" w:rsidR="004E7119" w:rsidRPr="00B01BC7" w:rsidRDefault="001A304E">
            <w:pPr>
              <w:spacing w:beforeAutospacing="1" w:afterAutospacing="1"/>
              <w:jc w:val="right"/>
            </w:pPr>
            <w:r w:rsidRPr="00B01BC7">
              <w:t>43,986.00</w:t>
            </w:r>
          </w:p>
        </w:tc>
        <w:tc>
          <w:tcPr>
            <w:tcW w:w="1260" w:type="dxa"/>
            <w:vAlign w:val="bottom"/>
          </w:tcPr>
          <w:p w14:paraId="280E179E" w14:textId="3DB984F8" w:rsidR="004E7119" w:rsidRPr="00B01BC7" w:rsidRDefault="004E7119">
            <w:pPr>
              <w:spacing w:beforeAutospacing="1" w:afterAutospacing="1"/>
              <w:jc w:val="right"/>
            </w:pPr>
          </w:p>
        </w:tc>
        <w:tc>
          <w:tcPr>
            <w:tcW w:w="1464" w:type="dxa"/>
            <w:vAlign w:val="bottom"/>
          </w:tcPr>
          <w:p w14:paraId="3FACDBA5" w14:textId="13625091" w:rsidR="004E7119" w:rsidRPr="00B01BC7" w:rsidRDefault="004E7119">
            <w:pPr>
              <w:spacing w:beforeAutospacing="1" w:afterAutospacing="1"/>
              <w:jc w:val="right"/>
            </w:pPr>
          </w:p>
        </w:tc>
        <w:tc>
          <w:tcPr>
            <w:tcW w:w="1439" w:type="dxa"/>
            <w:vAlign w:val="bottom"/>
          </w:tcPr>
          <w:p w14:paraId="65731B36" w14:textId="3DA58EC1" w:rsidR="004E7119" w:rsidRPr="00B01BC7" w:rsidRDefault="004E7119">
            <w:pPr>
              <w:spacing w:beforeAutospacing="1" w:afterAutospacing="1"/>
              <w:jc w:val="right"/>
            </w:pPr>
          </w:p>
        </w:tc>
        <w:tc>
          <w:tcPr>
            <w:tcW w:w="1439" w:type="dxa"/>
            <w:vAlign w:val="bottom"/>
          </w:tcPr>
          <w:p w14:paraId="0BE7D165" w14:textId="67F1ADCD" w:rsidR="004E7119" w:rsidRPr="00B01BC7" w:rsidRDefault="004E7119">
            <w:pPr>
              <w:spacing w:beforeAutospacing="1" w:afterAutospacing="1"/>
              <w:jc w:val="right"/>
            </w:pPr>
          </w:p>
        </w:tc>
        <w:tc>
          <w:tcPr>
            <w:tcW w:w="1439" w:type="dxa"/>
            <w:vAlign w:val="bottom"/>
          </w:tcPr>
          <w:p w14:paraId="5758BCF2" w14:textId="2089F7BC" w:rsidR="004E7119" w:rsidRPr="00B01BC7" w:rsidRDefault="004E7119">
            <w:pPr>
              <w:spacing w:beforeAutospacing="1" w:afterAutospacing="1"/>
              <w:jc w:val="right"/>
            </w:pPr>
          </w:p>
        </w:tc>
        <w:tc>
          <w:tcPr>
            <w:tcW w:w="1439" w:type="dxa"/>
            <w:vAlign w:val="bottom"/>
          </w:tcPr>
          <w:p w14:paraId="02558508" w14:textId="7746A78A" w:rsidR="004E7119" w:rsidRPr="00B01BC7" w:rsidRDefault="001A304E">
            <w:pPr>
              <w:spacing w:beforeAutospacing="1" w:afterAutospacing="1"/>
              <w:jc w:val="right"/>
            </w:pPr>
            <w:r w:rsidRPr="00B01BC7">
              <w:t>$43</w:t>
            </w:r>
            <w:r w:rsidR="00B01BC7">
              <w:t>,</w:t>
            </w:r>
            <w:r w:rsidRPr="00B01BC7">
              <w:t>986.00</w:t>
            </w:r>
          </w:p>
        </w:tc>
      </w:tr>
      <w:tr w:rsidR="001A304E" w14:paraId="55E62DCB" w14:textId="77777777" w:rsidTr="001A304E">
        <w:trPr>
          <w:cantSplit/>
        </w:trPr>
        <w:tc>
          <w:tcPr>
            <w:tcW w:w="1950" w:type="dxa"/>
            <w:vAlign w:val="bottom"/>
          </w:tcPr>
          <w:p w14:paraId="59172205" w14:textId="1792FDD9" w:rsidR="001A304E" w:rsidRPr="00B01BC7" w:rsidRDefault="00B01BC7">
            <w:pPr>
              <w:spacing w:beforeAutospacing="1" w:afterAutospacing="1"/>
              <w:jc w:val="right"/>
            </w:pPr>
            <w:r>
              <w:t>1120-D Cheney Hwy</w:t>
            </w:r>
          </w:p>
        </w:tc>
        <w:tc>
          <w:tcPr>
            <w:tcW w:w="1350" w:type="dxa"/>
            <w:vAlign w:val="bottom"/>
          </w:tcPr>
          <w:p w14:paraId="6780EFAF" w14:textId="3DF46F84" w:rsidR="001A304E" w:rsidRPr="00B01BC7" w:rsidRDefault="00B01BC7">
            <w:pPr>
              <w:spacing w:beforeAutospacing="1" w:afterAutospacing="1"/>
              <w:jc w:val="right"/>
            </w:pPr>
            <w:r>
              <w:t>10/3/23</w:t>
            </w:r>
          </w:p>
        </w:tc>
        <w:tc>
          <w:tcPr>
            <w:tcW w:w="1170" w:type="dxa"/>
            <w:vAlign w:val="bottom"/>
          </w:tcPr>
          <w:p w14:paraId="5877EC8E" w14:textId="2C3705E3" w:rsidR="001A304E" w:rsidRPr="00B01BC7" w:rsidRDefault="00B01BC7">
            <w:pPr>
              <w:spacing w:beforeAutospacing="1" w:afterAutospacing="1"/>
              <w:jc w:val="right"/>
            </w:pPr>
            <w:r>
              <w:t>50,000.00</w:t>
            </w:r>
          </w:p>
        </w:tc>
        <w:tc>
          <w:tcPr>
            <w:tcW w:w="1260" w:type="dxa"/>
            <w:vAlign w:val="bottom"/>
          </w:tcPr>
          <w:p w14:paraId="0BBAF794" w14:textId="77777777" w:rsidR="001A304E" w:rsidRPr="00B01BC7" w:rsidRDefault="001A304E">
            <w:pPr>
              <w:spacing w:beforeAutospacing="1" w:afterAutospacing="1"/>
              <w:jc w:val="right"/>
            </w:pPr>
          </w:p>
        </w:tc>
        <w:tc>
          <w:tcPr>
            <w:tcW w:w="1464" w:type="dxa"/>
            <w:vAlign w:val="bottom"/>
          </w:tcPr>
          <w:p w14:paraId="1EB8A323" w14:textId="77777777" w:rsidR="001A304E" w:rsidRPr="00B01BC7" w:rsidRDefault="001A304E">
            <w:pPr>
              <w:spacing w:beforeAutospacing="1" w:afterAutospacing="1"/>
              <w:jc w:val="right"/>
            </w:pPr>
          </w:p>
        </w:tc>
        <w:tc>
          <w:tcPr>
            <w:tcW w:w="1439" w:type="dxa"/>
            <w:vAlign w:val="bottom"/>
          </w:tcPr>
          <w:p w14:paraId="2C573C4C" w14:textId="77777777" w:rsidR="001A304E" w:rsidRPr="00B01BC7" w:rsidRDefault="001A304E">
            <w:pPr>
              <w:spacing w:beforeAutospacing="1" w:afterAutospacing="1"/>
              <w:jc w:val="right"/>
            </w:pPr>
          </w:p>
        </w:tc>
        <w:tc>
          <w:tcPr>
            <w:tcW w:w="1439" w:type="dxa"/>
            <w:vAlign w:val="bottom"/>
          </w:tcPr>
          <w:p w14:paraId="29B10D7F" w14:textId="77777777" w:rsidR="001A304E" w:rsidRPr="00B01BC7" w:rsidRDefault="001A304E">
            <w:pPr>
              <w:spacing w:beforeAutospacing="1" w:afterAutospacing="1"/>
              <w:jc w:val="right"/>
            </w:pPr>
          </w:p>
        </w:tc>
        <w:tc>
          <w:tcPr>
            <w:tcW w:w="1439" w:type="dxa"/>
            <w:vAlign w:val="bottom"/>
          </w:tcPr>
          <w:p w14:paraId="085F8B78" w14:textId="77777777" w:rsidR="001A304E" w:rsidRPr="00B01BC7" w:rsidRDefault="001A304E">
            <w:pPr>
              <w:spacing w:beforeAutospacing="1" w:afterAutospacing="1"/>
              <w:jc w:val="right"/>
            </w:pPr>
          </w:p>
        </w:tc>
        <w:tc>
          <w:tcPr>
            <w:tcW w:w="1439" w:type="dxa"/>
            <w:vAlign w:val="bottom"/>
          </w:tcPr>
          <w:p w14:paraId="54763543" w14:textId="215FE7A7" w:rsidR="001A304E" w:rsidRPr="00B01BC7" w:rsidRDefault="00B01BC7">
            <w:pPr>
              <w:spacing w:beforeAutospacing="1" w:afterAutospacing="1"/>
              <w:jc w:val="right"/>
            </w:pPr>
            <w:r>
              <w:t>$50,000.00</w:t>
            </w:r>
          </w:p>
        </w:tc>
      </w:tr>
      <w:tr w:rsidR="001A304E" w14:paraId="13268B65" w14:textId="77777777" w:rsidTr="001A304E">
        <w:trPr>
          <w:cantSplit/>
        </w:trPr>
        <w:tc>
          <w:tcPr>
            <w:tcW w:w="1950" w:type="dxa"/>
            <w:vAlign w:val="bottom"/>
          </w:tcPr>
          <w:p w14:paraId="73B113B3" w14:textId="63984B20" w:rsidR="001A304E" w:rsidRPr="00C53BB9" w:rsidRDefault="00B01BC7">
            <w:pPr>
              <w:spacing w:beforeAutospacing="1" w:afterAutospacing="1"/>
              <w:jc w:val="right"/>
            </w:pPr>
            <w:r w:rsidRPr="00C53BB9">
              <w:t>1423 Bell Terrace</w:t>
            </w:r>
          </w:p>
        </w:tc>
        <w:tc>
          <w:tcPr>
            <w:tcW w:w="1350" w:type="dxa"/>
            <w:vAlign w:val="bottom"/>
          </w:tcPr>
          <w:p w14:paraId="6B4DB32F" w14:textId="0BECD9C7" w:rsidR="001A304E" w:rsidRPr="00C53BB9" w:rsidRDefault="00B01BC7">
            <w:pPr>
              <w:spacing w:beforeAutospacing="1" w:afterAutospacing="1"/>
              <w:jc w:val="right"/>
            </w:pPr>
            <w:r w:rsidRPr="00C53BB9">
              <w:t>4/4/24</w:t>
            </w:r>
          </w:p>
        </w:tc>
        <w:tc>
          <w:tcPr>
            <w:tcW w:w="1170" w:type="dxa"/>
            <w:vAlign w:val="bottom"/>
          </w:tcPr>
          <w:p w14:paraId="1EE00757" w14:textId="3ED89FEB" w:rsidR="001A304E" w:rsidRPr="00C53BB9" w:rsidRDefault="00B01BC7">
            <w:pPr>
              <w:spacing w:beforeAutospacing="1" w:afterAutospacing="1"/>
              <w:jc w:val="right"/>
            </w:pPr>
            <w:r w:rsidRPr="00C53BB9">
              <w:t>50,000.00</w:t>
            </w:r>
          </w:p>
        </w:tc>
        <w:tc>
          <w:tcPr>
            <w:tcW w:w="1260" w:type="dxa"/>
            <w:vAlign w:val="bottom"/>
          </w:tcPr>
          <w:p w14:paraId="1386526D" w14:textId="77777777" w:rsidR="001A304E" w:rsidRPr="00C53BB9" w:rsidRDefault="001A304E">
            <w:pPr>
              <w:spacing w:beforeAutospacing="1" w:afterAutospacing="1"/>
              <w:jc w:val="right"/>
            </w:pPr>
          </w:p>
        </w:tc>
        <w:tc>
          <w:tcPr>
            <w:tcW w:w="1464" w:type="dxa"/>
            <w:vAlign w:val="bottom"/>
          </w:tcPr>
          <w:p w14:paraId="2314CD75" w14:textId="77777777" w:rsidR="001A304E" w:rsidRPr="00C53BB9" w:rsidRDefault="001A304E">
            <w:pPr>
              <w:spacing w:beforeAutospacing="1" w:afterAutospacing="1"/>
              <w:jc w:val="right"/>
            </w:pPr>
          </w:p>
        </w:tc>
        <w:tc>
          <w:tcPr>
            <w:tcW w:w="1439" w:type="dxa"/>
            <w:vAlign w:val="bottom"/>
          </w:tcPr>
          <w:p w14:paraId="701ABB45" w14:textId="77777777" w:rsidR="001A304E" w:rsidRPr="00C53BB9" w:rsidRDefault="001A304E">
            <w:pPr>
              <w:spacing w:beforeAutospacing="1" w:afterAutospacing="1"/>
              <w:jc w:val="right"/>
            </w:pPr>
          </w:p>
        </w:tc>
        <w:tc>
          <w:tcPr>
            <w:tcW w:w="1439" w:type="dxa"/>
            <w:vAlign w:val="bottom"/>
          </w:tcPr>
          <w:p w14:paraId="4C8F47FE" w14:textId="77777777" w:rsidR="001A304E" w:rsidRPr="00C53BB9" w:rsidRDefault="001A304E">
            <w:pPr>
              <w:spacing w:beforeAutospacing="1" w:afterAutospacing="1"/>
              <w:jc w:val="right"/>
            </w:pPr>
          </w:p>
        </w:tc>
        <w:tc>
          <w:tcPr>
            <w:tcW w:w="1439" w:type="dxa"/>
            <w:vAlign w:val="bottom"/>
          </w:tcPr>
          <w:p w14:paraId="2FC9B3EA" w14:textId="77777777" w:rsidR="001A304E" w:rsidRPr="00C53BB9" w:rsidRDefault="001A304E">
            <w:pPr>
              <w:spacing w:beforeAutospacing="1" w:afterAutospacing="1"/>
              <w:jc w:val="right"/>
            </w:pPr>
          </w:p>
        </w:tc>
        <w:tc>
          <w:tcPr>
            <w:tcW w:w="1439" w:type="dxa"/>
            <w:vAlign w:val="bottom"/>
          </w:tcPr>
          <w:p w14:paraId="6807ED46" w14:textId="53DDB00D" w:rsidR="001A304E" w:rsidRPr="00C53BB9" w:rsidRDefault="00B01BC7">
            <w:pPr>
              <w:spacing w:beforeAutospacing="1" w:afterAutospacing="1"/>
              <w:jc w:val="right"/>
            </w:pPr>
            <w:r w:rsidRPr="00C53BB9">
              <w:t>$50,000.00</w:t>
            </w:r>
          </w:p>
        </w:tc>
      </w:tr>
      <w:tr w:rsidR="001A304E" w14:paraId="2CE87A87" w14:textId="77777777" w:rsidTr="001A304E">
        <w:trPr>
          <w:cantSplit/>
        </w:trPr>
        <w:tc>
          <w:tcPr>
            <w:tcW w:w="1950" w:type="dxa"/>
            <w:vAlign w:val="bottom"/>
          </w:tcPr>
          <w:p w14:paraId="1EB4306A" w14:textId="25F427DB" w:rsidR="001A304E" w:rsidRPr="00C53BB9" w:rsidRDefault="00E85C1C">
            <w:pPr>
              <w:spacing w:beforeAutospacing="1" w:afterAutospacing="1"/>
              <w:jc w:val="right"/>
            </w:pPr>
            <w:r w:rsidRPr="00C53BB9">
              <w:t>40 E Towne Place</w:t>
            </w:r>
          </w:p>
        </w:tc>
        <w:tc>
          <w:tcPr>
            <w:tcW w:w="1350" w:type="dxa"/>
            <w:vAlign w:val="bottom"/>
          </w:tcPr>
          <w:p w14:paraId="01B2047D" w14:textId="133BD101" w:rsidR="001A304E" w:rsidRPr="00C53BB9" w:rsidRDefault="00E85C1C">
            <w:pPr>
              <w:spacing w:beforeAutospacing="1" w:afterAutospacing="1"/>
              <w:jc w:val="right"/>
            </w:pPr>
            <w:r w:rsidRPr="00C53BB9">
              <w:t>6/27/24</w:t>
            </w:r>
          </w:p>
        </w:tc>
        <w:tc>
          <w:tcPr>
            <w:tcW w:w="1170" w:type="dxa"/>
            <w:vAlign w:val="bottom"/>
          </w:tcPr>
          <w:p w14:paraId="2562E8CF" w14:textId="34B2630B" w:rsidR="001A304E" w:rsidRPr="00C53BB9" w:rsidRDefault="00E85C1C">
            <w:pPr>
              <w:spacing w:beforeAutospacing="1" w:afterAutospacing="1"/>
              <w:jc w:val="right"/>
            </w:pPr>
            <w:r w:rsidRPr="00C53BB9">
              <w:t>70,000.00</w:t>
            </w:r>
          </w:p>
        </w:tc>
        <w:tc>
          <w:tcPr>
            <w:tcW w:w="1260" w:type="dxa"/>
            <w:vAlign w:val="bottom"/>
          </w:tcPr>
          <w:p w14:paraId="5E8A05EC" w14:textId="77777777" w:rsidR="001A304E" w:rsidRPr="00C53BB9" w:rsidRDefault="001A304E">
            <w:pPr>
              <w:spacing w:beforeAutospacing="1" w:afterAutospacing="1"/>
              <w:jc w:val="right"/>
            </w:pPr>
          </w:p>
        </w:tc>
        <w:tc>
          <w:tcPr>
            <w:tcW w:w="1464" w:type="dxa"/>
            <w:vAlign w:val="bottom"/>
          </w:tcPr>
          <w:p w14:paraId="70120C78" w14:textId="77777777" w:rsidR="001A304E" w:rsidRPr="00C53BB9" w:rsidRDefault="001A304E">
            <w:pPr>
              <w:spacing w:beforeAutospacing="1" w:afterAutospacing="1"/>
              <w:jc w:val="right"/>
            </w:pPr>
          </w:p>
        </w:tc>
        <w:tc>
          <w:tcPr>
            <w:tcW w:w="1439" w:type="dxa"/>
            <w:vAlign w:val="bottom"/>
          </w:tcPr>
          <w:p w14:paraId="7F753A59" w14:textId="77777777" w:rsidR="001A304E" w:rsidRPr="00C53BB9" w:rsidRDefault="001A304E">
            <w:pPr>
              <w:spacing w:beforeAutospacing="1" w:afterAutospacing="1"/>
              <w:jc w:val="right"/>
            </w:pPr>
          </w:p>
        </w:tc>
        <w:tc>
          <w:tcPr>
            <w:tcW w:w="1439" w:type="dxa"/>
            <w:vAlign w:val="bottom"/>
          </w:tcPr>
          <w:p w14:paraId="4F4C51C1" w14:textId="77777777" w:rsidR="001A304E" w:rsidRPr="00C53BB9" w:rsidRDefault="001A304E">
            <w:pPr>
              <w:spacing w:beforeAutospacing="1" w:afterAutospacing="1"/>
              <w:jc w:val="right"/>
            </w:pPr>
          </w:p>
        </w:tc>
        <w:tc>
          <w:tcPr>
            <w:tcW w:w="1439" w:type="dxa"/>
            <w:vAlign w:val="bottom"/>
          </w:tcPr>
          <w:p w14:paraId="3DE948D5" w14:textId="77777777" w:rsidR="001A304E" w:rsidRPr="00C53BB9" w:rsidRDefault="001A304E">
            <w:pPr>
              <w:spacing w:beforeAutospacing="1" w:afterAutospacing="1"/>
              <w:jc w:val="right"/>
            </w:pPr>
          </w:p>
        </w:tc>
        <w:tc>
          <w:tcPr>
            <w:tcW w:w="1439" w:type="dxa"/>
            <w:vAlign w:val="bottom"/>
          </w:tcPr>
          <w:p w14:paraId="399BE68D" w14:textId="7B91B6CA" w:rsidR="001A304E" w:rsidRPr="00C53BB9" w:rsidRDefault="00E85C1C">
            <w:pPr>
              <w:spacing w:beforeAutospacing="1" w:afterAutospacing="1"/>
              <w:jc w:val="right"/>
            </w:pPr>
            <w:r w:rsidRPr="00C53BB9">
              <w:t>$70,000.00</w:t>
            </w:r>
          </w:p>
        </w:tc>
      </w:tr>
    </w:tbl>
    <w:p w14:paraId="3215A29D" w14:textId="39DAA98B" w:rsidR="004E7119" w:rsidRDefault="002A3363">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sidR="00A85082">
        <w:rPr>
          <w:rFonts w:asciiTheme="minorHAnsi" w:hAnsiTheme="minorHAnsi"/>
          <w:noProof/>
        </w:rPr>
        <w:t>6</w:t>
      </w:r>
      <w:r>
        <w:rPr>
          <w:rFonts w:asciiTheme="minorHAnsi" w:hAnsiTheme="minorHAnsi"/>
        </w:rPr>
        <w:fldChar w:fldCharType="end"/>
      </w:r>
      <w:r>
        <w:rPr>
          <w:rFonts w:asciiTheme="minorHAnsi" w:hAnsiTheme="minorHAnsi"/>
        </w:rPr>
        <w:t xml:space="preserve"> – Match Contribution for the Federal Fiscal Year</w:t>
      </w:r>
    </w:p>
    <w:p w14:paraId="030C352F" w14:textId="77777777" w:rsidR="004E7119" w:rsidRDefault="004E7119"/>
    <w:p w14:paraId="0660FEE1" w14:textId="77777777" w:rsidR="004E7119" w:rsidRDefault="002A3363">
      <w:pPr>
        <w:widowControl w:val="0"/>
        <w:spacing w:line="204" w:lineRule="auto"/>
        <w:rPr>
          <w:b/>
          <w:sz w:val="24"/>
          <w:szCs w:val="24"/>
        </w:rPr>
      </w:pPr>
      <w:r>
        <w:rPr>
          <w:b/>
          <w:sz w:val="24"/>
          <w:szCs w:val="24"/>
        </w:rPr>
        <w:t>HOME MBE/WBE report</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589"/>
        <w:gridCol w:w="2590"/>
        <w:gridCol w:w="2590"/>
        <w:gridCol w:w="2590"/>
        <w:gridCol w:w="2591"/>
      </w:tblGrid>
      <w:tr w:rsidR="004E7119" w14:paraId="7F61A98E" w14:textId="77777777">
        <w:trPr>
          <w:cantSplit/>
          <w:tblHeader/>
        </w:trPr>
        <w:tc>
          <w:tcPr>
            <w:tcW w:w="13176" w:type="dxa"/>
            <w:gridSpan w:val="5"/>
          </w:tcPr>
          <w:p w14:paraId="521EB70F" w14:textId="77777777" w:rsidR="004E7119" w:rsidRDefault="002A3363">
            <w:pPr>
              <w:keepNext/>
              <w:widowControl w:val="0"/>
              <w:spacing w:after="0" w:line="240" w:lineRule="auto"/>
              <w:rPr>
                <w:b/>
              </w:rPr>
            </w:pPr>
            <w:r w:rsidRPr="001805B4">
              <w:rPr>
                <w:b/>
              </w:rPr>
              <w:t>Program Income</w:t>
            </w:r>
            <w:r>
              <w:rPr>
                <w:b/>
              </w:rPr>
              <w:t xml:space="preserve"> </w:t>
            </w:r>
            <w:r>
              <w:t>– Enter the program amounts for the reporting period</w:t>
            </w:r>
          </w:p>
        </w:tc>
      </w:tr>
      <w:tr w:rsidR="004E7119" w14:paraId="6310BBB6" w14:textId="77777777">
        <w:trPr>
          <w:cantSplit/>
          <w:tblHeader/>
        </w:trPr>
        <w:tc>
          <w:tcPr>
            <w:tcW w:w="2635" w:type="dxa"/>
          </w:tcPr>
          <w:p w14:paraId="60B2ABD0" w14:textId="77777777" w:rsidR="004E7119" w:rsidRDefault="002A3363">
            <w:pPr>
              <w:keepNext/>
              <w:spacing w:after="0" w:line="240" w:lineRule="auto"/>
              <w:jc w:val="center"/>
              <w:rPr>
                <w:b/>
              </w:rPr>
            </w:pPr>
            <w:r>
              <w:rPr>
                <w:b/>
              </w:rPr>
              <w:t>Balance on hand at begin-</w:t>
            </w:r>
            <w:proofErr w:type="spellStart"/>
            <w:r>
              <w:rPr>
                <w:b/>
              </w:rPr>
              <w:t>ning</w:t>
            </w:r>
            <w:proofErr w:type="spellEnd"/>
            <w:r>
              <w:rPr>
                <w:b/>
              </w:rPr>
              <w:t xml:space="preserve"> of reporting period</w:t>
            </w:r>
          </w:p>
          <w:p w14:paraId="417634E3" w14:textId="77777777" w:rsidR="004E7119" w:rsidRDefault="002A3363">
            <w:pPr>
              <w:keepNext/>
              <w:spacing w:after="0" w:line="240" w:lineRule="auto"/>
              <w:jc w:val="center"/>
              <w:rPr>
                <w:b/>
              </w:rPr>
            </w:pPr>
            <w:r>
              <w:rPr>
                <w:b/>
              </w:rPr>
              <w:t>$</w:t>
            </w:r>
          </w:p>
        </w:tc>
        <w:tc>
          <w:tcPr>
            <w:tcW w:w="2635" w:type="dxa"/>
          </w:tcPr>
          <w:p w14:paraId="6ED7B8A3" w14:textId="77777777" w:rsidR="004E7119" w:rsidRDefault="002A3363">
            <w:pPr>
              <w:keepNext/>
              <w:spacing w:after="0" w:line="240" w:lineRule="auto"/>
              <w:jc w:val="center"/>
              <w:rPr>
                <w:b/>
              </w:rPr>
            </w:pPr>
            <w:r>
              <w:rPr>
                <w:b/>
              </w:rPr>
              <w:t>Amount received during reporting period</w:t>
            </w:r>
          </w:p>
          <w:p w14:paraId="64D32CB0" w14:textId="77777777" w:rsidR="004E7119" w:rsidRDefault="002A3363">
            <w:pPr>
              <w:keepNext/>
              <w:spacing w:after="0" w:line="240" w:lineRule="auto"/>
              <w:jc w:val="center"/>
              <w:rPr>
                <w:b/>
              </w:rPr>
            </w:pPr>
            <w:r>
              <w:rPr>
                <w:b/>
              </w:rPr>
              <w:t>$</w:t>
            </w:r>
          </w:p>
        </w:tc>
        <w:tc>
          <w:tcPr>
            <w:tcW w:w="2635" w:type="dxa"/>
          </w:tcPr>
          <w:p w14:paraId="1466564C" w14:textId="77777777" w:rsidR="004E7119" w:rsidRDefault="002A3363">
            <w:pPr>
              <w:keepNext/>
              <w:spacing w:after="0" w:line="240" w:lineRule="auto"/>
              <w:jc w:val="center"/>
              <w:rPr>
                <w:b/>
              </w:rPr>
            </w:pPr>
            <w:r>
              <w:rPr>
                <w:b/>
              </w:rPr>
              <w:t>Total amount expended during reporting period</w:t>
            </w:r>
          </w:p>
          <w:p w14:paraId="35096CD7" w14:textId="77777777" w:rsidR="004E7119" w:rsidRDefault="002A3363">
            <w:pPr>
              <w:keepNext/>
              <w:spacing w:after="0" w:line="240" w:lineRule="auto"/>
              <w:jc w:val="center"/>
              <w:rPr>
                <w:b/>
              </w:rPr>
            </w:pPr>
            <w:r>
              <w:rPr>
                <w:b/>
              </w:rPr>
              <w:t>$</w:t>
            </w:r>
          </w:p>
        </w:tc>
        <w:tc>
          <w:tcPr>
            <w:tcW w:w="2635" w:type="dxa"/>
          </w:tcPr>
          <w:p w14:paraId="45A135AB" w14:textId="77777777" w:rsidR="004E7119" w:rsidRDefault="002A3363">
            <w:pPr>
              <w:keepNext/>
              <w:spacing w:after="0" w:line="240" w:lineRule="auto"/>
              <w:jc w:val="center"/>
              <w:rPr>
                <w:b/>
              </w:rPr>
            </w:pPr>
            <w:r>
              <w:rPr>
                <w:b/>
              </w:rPr>
              <w:t>Amount expended for TBRA</w:t>
            </w:r>
          </w:p>
          <w:p w14:paraId="5494B87D" w14:textId="77777777" w:rsidR="004E7119" w:rsidRDefault="002A3363">
            <w:pPr>
              <w:keepNext/>
              <w:spacing w:after="0" w:line="240" w:lineRule="auto"/>
              <w:jc w:val="center"/>
              <w:rPr>
                <w:b/>
              </w:rPr>
            </w:pPr>
            <w:r>
              <w:rPr>
                <w:b/>
              </w:rPr>
              <w:t>$</w:t>
            </w:r>
          </w:p>
        </w:tc>
        <w:tc>
          <w:tcPr>
            <w:tcW w:w="2636" w:type="dxa"/>
          </w:tcPr>
          <w:p w14:paraId="6876654E" w14:textId="77777777" w:rsidR="004E7119" w:rsidRDefault="002A3363">
            <w:pPr>
              <w:keepNext/>
              <w:spacing w:after="0" w:line="240" w:lineRule="auto"/>
              <w:jc w:val="center"/>
              <w:rPr>
                <w:b/>
              </w:rPr>
            </w:pPr>
            <w:r>
              <w:rPr>
                <w:b/>
              </w:rPr>
              <w:t>Balance on hand at end of reporting period</w:t>
            </w:r>
          </w:p>
          <w:p w14:paraId="21194FA2" w14:textId="77777777" w:rsidR="004E7119" w:rsidRDefault="002A3363">
            <w:pPr>
              <w:keepNext/>
              <w:spacing w:after="0" w:line="240" w:lineRule="auto"/>
              <w:jc w:val="center"/>
              <w:rPr>
                <w:b/>
              </w:rPr>
            </w:pPr>
            <w:r>
              <w:rPr>
                <w:b/>
              </w:rPr>
              <w:t>$</w:t>
            </w:r>
          </w:p>
        </w:tc>
      </w:tr>
      <w:tr w:rsidR="004E7119" w14:paraId="317C531B" w14:textId="77777777">
        <w:trPr>
          <w:cantSplit/>
        </w:trPr>
        <w:tc>
          <w:tcPr>
            <w:tcW w:w="2637" w:type="dxa"/>
            <w:vAlign w:val="bottom"/>
          </w:tcPr>
          <w:p w14:paraId="13FE285C" w14:textId="5A6D453E" w:rsidR="00783770" w:rsidRPr="001805B4" w:rsidRDefault="00783770">
            <w:pPr>
              <w:spacing w:beforeAutospacing="1" w:afterAutospacing="1"/>
              <w:jc w:val="right"/>
            </w:pPr>
            <w:r w:rsidRPr="001805B4">
              <w:rPr>
                <w:color w:val="000000"/>
              </w:rPr>
              <w:t>$84,220.89</w:t>
            </w:r>
          </w:p>
        </w:tc>
        <w:tc>
          <w:tcPr>
            <w:tcW w:w="2638" w:type="dxa"/>
            <w:vAlign w:val="bottom"/>
          </w:tcPr>
          <w:p w14:paraId="185F12D6" w14:textId="3FAC74C6" w:rsidR="00783770" w:rsidRPr="001805B4" w:rsidRDefault="00783770">
            <w:pPr>
              <w:spacing w:beforeAutospacing="1" w:afterAutospacing="1"/>
              <w:jc w:val="right"/>
            </w:pPr>
            <w:r w:rsidRPr="001805B4">
              <w:t>$</w:t>
            </w:r>
            <w:r w:rsidR="00887B72">
              <w:t>291,485.04</w:t>
            </w:r>
          </w:p>
        </w:tc>
        <w:tc>
          <w:tcPr>
            <w:tcW w:w="2638" w:type="dxa"/>
            <w:vAlign w:val="bottom"/>
          </w:tcPr>
          <w:p w14:paraId="1262652D" w14:textId="1899BC4B" w:rsidR="00783770" w:rsidRPr="001805B4" w:rsidRDefault="00783770">
            <w:pPr>
              <w:spacing w:beforeAutospacing="1" w:afterAutospacing="1"/>
              <w:jc w:val="right"/>
            </w:pPr>
            <w:r w:rsidRPr="001805B4">
              <w:rPr>
                <w:color w:val="000000"/>
              </w:rPr>
              <w:t>$</w:t>
            </w:r>
            <w:r w:rsidR="00887B72">
              <w:rPr>
                <w:color w:val="000000"/>
              </w:rPr>
              <w:t>250,672.60</w:t>
            </w:r>
          </w:p>
        </w:tc>
        <w:tc>
          <w:tcPr>
            <w:tcW w:w="2638" w:type="dxa"/>
            <w:vAlign w:val="bottom"/>
          </w:tcPr>
          <w:p w14:paraId="63D0231F" w14:textId="388FCE2A" w:rsidR="004E7119" w:rsidRPr="001805B4" w:rsidRDefault="00783770">
            <w:pPr>
              <w:spacing w:beforeAutospacing="1" w:afterAutospacing="1"/>
              <w:jc w:val="right"/>
            </w:pPr>
            <w:r w:rsidRPr="001805B4">
              <w:rPr>
                <w:color w:val="000000"/>
              </w:rPr>
              <w:t>$45,486.56</w:t>
            </w:r>
          </w:p>
        </w:tc>
        <w:tc>
          <w:tcPr>
            <w:tcW w:w="2639" w:type="dxa"/>
            <w:vAlign w:val="bottom"/>
          </w:tcPr>
          <w:p w14:paraId="099A8652" w14:textId="3FD2A827" w:rsidR="00783770" w:rsidRDefault="00783770">
            <w:pPr>
              <w:spacing w:beforeAutospacing="1" w:afterAutospacing="1"/>
              <w:jc w:val="right"/>
              <w:rPr>
                <w:color w:val="000000"/>
              </w:rPr>
            </w:pPr>
          </w:p>
          <w:p w14:paraId="42E049CF" w14:textId="74BC6898" w:rsidR="00783770" w:rsidRPr="00894F96" w:rsidRDefault="001805B4">
            <w:pPr>
              <w:spacing w:beforeAutospacing="1" w:afterAutospacing="1"/>
              <w:jc w:val="right"/>
            </w:pPr>
            <w:r>
              <w:t>$</w:t>
            </w:r>
            <w:r w:rsidR="00BD65DA">
              <w:t>125,033.33</w:t>
            </w:r>
          </w:p>
        </w:tc>
      </w:tr>
    </w:tbl>
    <w:p w14:paraId="098D0289" w14:textId="5564A56C" w:rsidR="004E7119" w:rsidRDefault="002A3363">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sidR="00A85082">
        <w:rPr>
          <w:rFonts w:asciiTheme="minorHAnsi" w:hAnsiTheme="minorHAnsi"/>
          <w:noProof/>
        </w:rPr>
        <w:t>7</w:t>
      </w:r>
      <w:r>
        <w:rPr>
          <w:rFonts w:asciiTheme="minorHAnsi" w:hAnsiTheme="minorHAnsi"/>
        </w:rPr>
        <w:fldChar w:fldCharType="end"/>
      </w:r>
      <w:r>
        <w:rPr>
          <w:rFonts w:asciiTheme="minorHAnsi" w:hAnsiTheme="minorHAnsi"/>
        </w:rPr>
        <w:t xml:space="preserve"> – Program Income</w:t>
      </w:r>
    </w:p>
    <w:p w14:paraId="01A6FF71" w14:textId="77777777" w:rsidR="004E7119" w:rsidRDefault="004E7119">
      <w:pPr>
        <w:widowControl w:val="0"/>
        <w:spacing w:after="0" w:line="240" w:lineRule="auto"/>
        <w:rPr>
          <w:b/>
          <w:sz w:val="20"/>
          <w:szCs w:val="20"/>
        </w:rPr>
      </w:pPr>
    </w:p>
    <w:p w14:paraId="7EA231F7" w14:textId="77777777" w:rsidR="004E7119" w:rsidRDefault="004E7119">
      <w:pPr>
        <w:widowControl w:val="0"/>
        <w:spacing w:after="0" w:line="240" w:lineRule="auto"/>
        <w:jc w:val="center"/>
        <w:rPr>
          <w:b/>
          <w:sz w:val="20"/>
          <w:szCs w:val="20"/>
        </w:rPr>
        <w:sectPr w:rsidR="004E7119">
          <w:pgSz w:w="15840" w:h="12240" w:orient="landscape" w:code="1"/>
          <w:pgMar w:top="1440" w:right="1440" w:bottom="1440" w:left="1440" w:header="720" w:footer="720" w:gutter="0"/>
          <w:cols w:space="720"/>
          <w:docGrid w:linePitch="360"/>
        </w:sect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4E7119" w14:paraId="2580E506" w14:textId="77777777">
        <w:tc>
          <w:tcPr>
            <w:tcW w:w="9576" w:type="dxa"/>
          </w:tcPr>
          <w:p w14:paraId="2F63DF79" w14:textId="77777777" w:rsidR="004E7119" w:rsidRDefault="002A3363">
            <w:pPr>
              <w:keepNext/>
              <w:widowControl w:val="0"/>
              <w:spacing w:after="0" w:line="240" w:lineRule="auto"/>
              <w:rPr>
                <w:b/>
              </w:rPr>
            </w:pPr>
            <w:r>
              <w:rPr>
                <w:b/>
              </w:rPr>
              <w:lastRenderedPageBreak/>
              <w:t xml:space="preserve">Minority Business Enterprises and Women Business Enterprises – </w:t>
            </w:r>
            <w:r>
              <w:t>Indicate the number and dollar value of contracts for HOME projects completed during the reporting period</w:t>
            </w:r>
          </w:p>
        </w:tc>
      </w:tr>
    </w:tbl>
    <w:p w14:paraId="5CDED645" w14:textId="77777777" w:rsidR="004E7119" w:rsidRDefault="004E7119">
      <w:pPr>
        <w:keepNext/>
        <w:widowControl w:val="0"/>
        <w:spacing w:after="0" w:line="240" w:lineRule="auto"/>
        <w:rPr>
          <w:b/>
          <w:vanish/>
          <w:sz w:val="24"/>
          <w:szCs w:val="24"/>
        </w:r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335"/>
        <w:gridCol w:w="1335"/>
        <w:gridCol w:w="1336"/>
        <w:gridCol w:w="1336"/>
        <w:gridCol w:w="1336"/>
        <w:gridCol w:w="1336"/>
        <w:gridCol w:w="1336"/>
      </w:tblGrid>
      <w:tr w:rsidR="004E7119" w14:paraId="308E54E8" w14:textId="77777777">
        <w:trPr>
          <w:cantSplit/>
        </w:trPr>
        <w:tc>
          <w:tcPr>
            <w:tcW w:w="1368" w:type="dxa"/>
            <w:vMerge w:val="restart"/>
          </w:tcPr>
          <w:p w14:paraId="6BCEECA8" w14:textId="77777777" w:rsidR="004E7119" w:rsidRDefault="004E7119">
            <w:pPr>
              <w:keepNext/>
              <w:widowControl w:val="0"/>
              <w:spacing w:after="0" w:line="240" w:lineRule="auto"/>
              <w:rPr>
                <w:b/>
              </w:rPr>
            </w:pPr>
          </w:p>
        </w:tc>
        <w:tc>
          <w:tcPr>
            <w:tcW w:w="1368" w:type="dxa"/>
            <w:vMerge w:val="restart"/>
          </w:tcPr>
          <w:p w14:paraId="7C59CFD4" w14:textId="77777777" w:rsidR="004E7119" w:rsidRDefault="002A3363">
            <w:pPr>
              <w:keepNext/>
              <w:widowControl w:val="0"/>
              <w:spacing w:after="0" w:line="240" w:lineRule="auto"/>
              <w:jc w:val="center"/>
              <w:rPr>
                <w:b/>
              </w:rPr>
            </w:pPr>
            <w:r>
              <w:rPr>
                <w:b/>
              </w:rPr>
              <w:t>Total</w:t>
            </w:r>
          </w:p>
        </w:tc>
        <w:tc>
          <w:tcPr>
            <w:tcW w:w="5472" w:type="dxa"/>
            <w:gridSpan w:val="4"/>
          </w:tcPr>
          <w:p w14:paraId="1C870050" w14:textId="77777777" w:rsidR="004E7119" w:rsidRDefault="002A3363">
            <w:pPr>
              <w:keepNext/>
              <w:widowControl w:val="0"/>
              <w:spacing w:after="0" w:line="240" w:lineRule="auto"/>
              <w:jc w:val="center"/>
              <w:rPr>
                <w:b/>
              </w:rPr>
            </w:pPr>
            <w:r>
              <w:rPr>
                <w:b/>
              </w:rPr>
              <w:t>Minority Business Enterprises</w:t>
            </w:r>
          </w:p>
        </w:tc>
        <w:tc>
          <w:tcPr>
            <w:tcW w:w="1368" w:type="dxa"/>
            <w:vMerge w:val="restart"/>
          </w:tcPr>
          <w:p w14:paraId="0223C021" w14:textId="77777777" w:rsidR="004E7119" w:rsidRDefault="002A3363">
            <w:pPr>
              <w:keepNext/>
              <w:widowControl w:val="0"/>
              <w:spacing w:after="0" w:line="240" w:lineRule="auto"/>
              <w:jc w:val="center"/>
              <w:rPr>
                <w:b/>
              </w:rPr>
            </w:pPr>
            <w:r>
              <w:rPr>
                <w:b/>
              </w:rPr>
              <w:t>White Non-Hispanic</w:t>
            </w:r>
          </w:p>
        </w:tc>
      </w:tr>
      <w:tr w:rsidR="004E7119" w14:paraId="5E440A5C" w14:textId="77777777">
        <w:trPr>
          <w:cantSplit/>
        </w:trPr>
        <w:tc>
          <w:tcPr>
            <w:tcW w:w="1368" w:type="dxa"/>
            <w:vMerge/>
          </w:tcPr>
          <w:p w14:paraId="5F5C147C" w14:textId="77777777" w:rsidR="004E7119" w:rsidRDefault="004E7119">
            <w:pPr>
              <w:keepNext/>
              <w:widowControl w:val="0"/>
              <w:spacing w:after="0" w:line="240" w:lineRule="auto"/>
              <w:rPr>
                <w:b/>
              </w:rPr>
            </w:pPr>
          </w:p>
        </w:tc>
        <w:tc>
          <w:tcPr>
            <w:tcW w:w="1368" w:type="dxa"/>
            <w:vMerge/>
          </w:tcPr>
          <w:p w14:paraId="6A8ABF79" w14:textId="77777777" w:rsidR="004E7119" w:rsidRDefault="004E7119">
            <w:pPr>
              <w:keepNext/>
              <w:widowControl w:val="0"/>
              <w:spacing w:after="0" w:line="240" w:lineRule="auto"/>
              <w:rPr>
                <w:b/>
              </w:rPr>
            </w:pPr>
          </w:p>
        </w:tc>
        <w:tc>
          <w:tcPr>
            <w:tcW w:w="1368" w:type="dxa"/>
          </w:tcPr>
          <w:p w14:paraId="67E06A68" w14:textId="77777777" w:rsidR="004E7119" w:rsidRDefault="002A3363">
            <w:pPr>
              <w:keepNext/>
              <w:spacing w:after="0" w:line="240" w:lineRule="auto"/>
              <w:jc w:val="center"/>
              <w:rPr>
                <w:b/>
              </w:rPr>
            </w:pPr>
            <w:r>
              <w:rPr>
                <w:b/>
              </w:rPr>
              <w:t>Alaskan Native or American Indian</w:t>
            </w:r>
          </w:p>
        </w:tc>
        <w:tc>
          <w:tcPr>
            <w:tcW w:w="1368" w:type="dxa"/>
          </w:tcPr>
          <w:p w14:paraId="275F15BD" w14:textId="77777777" w:rsidR="004E7119" w:rsidRDefault="002A3363">
            <w:pPr>
              <w:keepNext/>
              <w:widowControl w:val="0"/>
              <w:spacing w:after="0" w:line="240" w:lineRule="auto"/>
              <w:jc w:val="center"/>
              <w:rPr>
                <w:b/>
              </w:rPr>
            </w:pPr>
            <w:r>
              <w:rPr>
                <w:b/>
              </w:rPr>
              <w:t>Asian or Pacific Islander</w:t>
            </w:r>
          </w:p>
        </w:tc>
        <w:tc>
          <w:tcPr>
            <w:tcW w:w="1368" w:type="dxa"/>
          </w:tcPr>
          <w:p w14:paraId="05D1B41A" w14:textId="77777777" w:rsidR="004E7119" w:rsidRDefault="002A3363">
            <w:pPr>
              <w:keepNext/>
              <w:widowControl w:val="0"/>
              <w:spacing w:after="0" w:line="240" w:lineRule="auto"/>
              <w:jc w:val="center"/>
              <w:rPr>
                <w:b/>
              </w:rPr>
            </w:pPr>
            <w:r>
              <w:rPr>
                <w:b/>
              </w:rPr>
              <w:t>Black Non-Hispanic</w:t>
            </w:r>
          </w:p>
        </w:tc>
        <w:tc>
          <w:tcPr>
            <w:tcW w:w="1368" w:type="dxa"/>
          </w:tcPr>
          <w:p w14:paraId="58F70503" w14:textId="77777777" w:rsidR="004E7119" w:rsidRDefault="002A3363">
            <w:pPr>
              <w:keepNext/>
              <w:widowControl w:val="0"/>
              <w:spacing w:after="0" w:line="240" w:lineRule="auto"/>
              <w:jc w:val="center"/>
              <w:rPr>
                <w:b/>
              </w:rPr>
            </w:pPr>
            <w:r>
              <w:rPr>
                <w:b/>
              </w:rPr>
              <w:t>Hispanic</w:t>
            </w:r>
          </w:p>
        </w:tc>
        <w:tc>
          <w:tcPr>
            <w:tcW w:w="1368" w:type="dxa"/>
            <w:vMerge/>
          </w:tcPr>
          <w:p w14:paraId="17882D71" w14:textId="77777777" w:rsidR="004E7119" w:rsidRDefault="004E7119">
            <w:pPr>
              <w:keepNext/>
              <w:widowControl w:val="0"/>
              <w:spacing w:after="0" w:line="240" w:lineRule="auto"/>
              <w:jc w:val="center"/>
              <w:rPr>
                <w:b/>
              </w:rPr>
            </w:pPr>
          </w:p>
        </w:tc>
      </w:tr>
    </w:tbl>
    <w:p w14:paraId="734E621B" w14:textId="77777777" w:rsidR="004E7119" w:rsidRDefault="004E7119">
      <w:pPr>
        <w:keepNext/>
        <w:widowControl w:val="0"/>
        <w:spacing w:after="0" w:line="240" w:lineRule="auto"/>
        <w:rPr>
          <w:b/>
          <w:vanish/>
          <w:sz w:val="24"/>
          <w:szCs w:val="24"/>
        </w:r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335"/>
        <w:gridCol w:w="1335"/>
        <w:gridCol w:w="1336"/>
        <w:gridCol w:w="1336"/>
        <w:gridCol w:w="1336"/>
        <w:gridCol w:w="1336"/>
        <w:gridCol w:w="1336"/>
      </w:tblGrid>
      <w:tr w:rsidR="004E7119" w14:paraId="7B4DA575" w14:textId="77777777">
        <w:trPr>
          <w:cantSplit/>
        </w:trPr>
        <w:tc>
          <w:tcPr>
            <w:tcW w:w="9576" w:type="dxa"/>
            <w:gridSpan w:val="7"/>
          </w:tcPr>
          <w:p w14:paraId="21169B39" w14:textId="77777777" w:rsidR="004E7119" w:rsidRDefault="002A3363">
            <w:pPr>
              <w:keepNext/>
              <w:widowControl w:val="0"/>
              <w:spacing w:after="0" w:line="240" w:lineRule="auto"/>
              <w:rPr>
                <w:b/>
              </w:rPr>
            </w:pPr>
            <w:r>
              <w:rPr>
                <w:b/>
              </w:rPr>
              <w:t>Contracts</w:t>
            </w:r>
          </w:p>
        </w:tc>
      </w:tr>
      <w:tr w:rsidR="004E7119" w14:paraId="4369D0B2" w14:textId="77777777">
        <w:trPr>
          <w:cantSplit/>
          <w:hidden/>
        </w:trPr>
        <w:tc>
          <w:tcPr>
            <w:tcW w:w="1368" w:type="dxa"/>
          </w:tcPr>
          <w:p w14:paraId="6CD16BD8" w14:textId="77777777" w:rsidR="004E7119" w:rsidRDefault="004E7119">
            <w:pPr>
              <w:keepNext/>
              <w:widowControl w:val="0"/>
              <w:spacing w:after="0" w:line="240" w:lineRule="auto"/>
              <w:rPr>
                <w:b/>
                <w:vanish/>
              </w:rPr>
            </w:pPr>
          </w:p>
        </w:tc>
        <w:tc>
          <w:tcPr>
            <w:tcW w:w="1368" w:type="dxa"/>
          </w:tcPr>
          <w:p w14:paraId="39231E80" w14:textId="77777777" w:rsidR="004E7119" w:rsidRDefault="004E7119">
            <w:pPr>
              <w:keepNext/>
              <w:widowControl w:val="0"/>
              <w:spacing w:after="0" w:line="240" w:lineRule="auto"/>
              <w:rPr>
                <w:b/>
                <w:vanish/>
              </w:rPr>
            </w:pPr>
          </w:p>
        </w:tc>
        <w:tc>
          <w:tcPr>
            <w:tcW w:w="1368" w:type="dxa"/>
          </w:tcPr>
          <w:p w14:paraId="1355F709" w14:textId="77777777" w:rsidR="004E7119" w:rsidRDefault="004E7119">
            <w:pPr>
              <w:keepNext/>
              <w:widowControl w:val="0"/>
              <w:spacing w:after="0" w:line="240" w:lineRule="auto"/>
              <w:rPr>
                <w:b/>
                <w:vanish/>
              </w:rPr>
            </w:pPr>
          </w:p>
        </w:tc>
        <w:tc>
          <w:tcPr>
            <w:tcW w:w="1368" w:type="dxa"/>
          </w:tcPr>
          <w:p w14:paraId="63F2C246" w14:textId="77777777" w:rsidR="004E7119" w:rsidRDefault="004E7119">
            <w:pPr>
              <w:keepNext/>
              <w:widowControl w:val="0"/>
              <w:spacing w:after="0" w:line="240" w:lineRule="auto"/>
              <w:rPr>
                <w:b/>
                <w:vanish/>
              </w:rPr>
            </w:pPr>
          </w:p>
        </w:tc>
        <w:tc>
          <w:tcPr>
            <w:tcW w:w="1368" w:type="dxa"/>
          </w:tcPr>
          <w:p w14:paraId="7313E57F" w14:textId="77777777" w:rsidR="004E7119" w:rsidRDefault="004E7119">
            <w:pPr>
              <w:keepNext/>
              <w:widowControl w:val="0"/>
              <w:spacing w:after="0" w:line="240" w:lineRule="auto"/>
              <w:rPr>
                <w:b/>
                <w:vanish/>
              </w:rPr>
            </w:pPr>
          </w:p>
        </w:tc>
        <w:tc>
          <w:tcPr>
            <w:tcW w:w="1368" w:type="dxa"/>
          </w:tcPr>
          <w:p w14:paraId="5D5832D2" w14:textId="77777777" w:rsidR="004E7119" w:rsidRDefault="004E7119">
            <w:pPr>
              <w:keepNext/>
              <w:widowControl w:val="0"/>
              <w:spacing w:after="0" w:line="240" w:lineRule="auto"/>
              <w:rPr>
                <w:b/>
                <w:vanish/>
              </w:rPr>
            </w:pPr>
          </w:p>
        </w:tc>
        <w:tc>
          <w:tcPr>
            <w:tcW w:w="1368" w:type="dxa"/>
          </w:tcPr>
          <w:p w14:paraId="1BA27B88" w14:textId="77777777" w:rsidR="004E7119" w:rsidRDefault="004E7119">
            <w:pPr>
              <w:keepNext/>
              <w:widowControl w:val="0"/>
              <w:spacing w:after="0" w:line="240" w:lineRule="auto"/>
              <w:rPr>
                <w:b/>
                <w:vanish/>
              </w:rPr>
            </w:pPr>
          </w:p>
        </w:tc>
      </w:tr>
      <w:tr w:rsidR="004E7119" w:rsidRPr="0031655F" w14:paraId="4E7524FC" w14:textId="77777777">
        <w:trPr>
          <w:cantSplit/>
        </w:trPr>
        <w:tc>
          <w:tcPr>
            <w:tcW w:w="1370" w:type="dxa"/>
          </w:tcPr>
          <w:p w14:paraId="4D7810A8" w14:textId="77777777" w:rsidR="004E7119" w:rsidRPr="0031655F" w:rsidRDefault="002A3363">
            <w:pPr>
              <w:spacing w:beforeAutospacing="1" w:afterAutospacing="1"/>
            </w:pPr>
            <w:r w:rsidRPr="0031655F">
              <w:rPr>
                <w:color w:val="000000"/>
              </w:rPr>
              <w:t>Dollar Amount</w:t>
            </w:r>
          </w:p>
        </w:tc>
        <w:tc>
          <w:tcPr>
            <w:tcW w:w="1370" w:type="dxa"/>
            <w:vAlign w:val="bottom"/>
          </w:tcPr>
          <w:p w14:paraId="1223EEA0" w14:textId="39A74A27" w:rsidR="00CF31BD" w:rsidRPr="0031655F" w:rsidRDefault="00CF31BD">
            <w:pPr>
              <w:spacing w:beforeAutospacing="1" w:afterAutospacing="1"/>
              <w:jc w:val="right"/>
            </w:pPr>
            <w:r w:rsidRPr="0031655F">
              <w:rPr>
                <w:color w:val="000000"/>
              </w:rPr>
              <w:t>381,597.99</w:t>
            </w:r>
          </w:p>
        </w:tc>
        <w:tc>
          <w:tcPr>
            <w:tcW w:w="1370" w:type="dxa"/>
            <w:vAlign w:val="bottom"/>
          </w:tcPr>
          <w:p w14:paraId="078631B1" w14:textId="77777777" w:rsidR="004E7119" w:rsidRPr="0031655F" w:rsidRDefault="002A3363">
            <w:pPr>
              <w:spacing w:beforeAutospacing="1" w:afterAutospacing="1"/>
              <w:jc w:val="right"/>
            </w:pPr>
            <w:r w:rsidRPr="0031655F">
              <w:rPr>
                <w:color w:val="000000"/>
              </w:rPr>
              <w:t>0</w:t>
            </w:r>
          </w:p>
        </w:tc>
        <w:tc>
          <w:tcPr>
            <w:tcW w:w="1370" w:type="dxa"/>
            <w:vAlign w:val="bottom"/>
          </w:tcPr>
          <w:p w14:paraId="422D044E" w14:textId="77777777" w:rsidR="004E7119" w:rsidRPr="0031655F" w:rsidRDefault="002A3363">
            <w:pPr>
              <w:spacing w:beforeAutospacing="1" w:afterAutospacing="1"/>
              <w:jc w:val="right"/>
            </w:pPr>
            <w:r w:rsidRPr="0031655F">
              <w:rPr>
                <w:color w:val="000000"/>
              </w:rPr>
              <w:t>0</w:t>
            </w:r>
          </w:p>
        </w:tc>
        <w:tc>
          <w:tcPr>
            <w:tcW w:w="1370" w:type="dxa"/>
            <w:vAlign w:val="bottom"/>
          </w:tcPr>
          <w:p w14:paraId="540AF63B" w14:textId="77777777" w:rsidR="004E7119" w:rsidRPr="0031655F" w:rsidRDefault="002A3363">
            <w:pPr>
              <w:spacing w:beforeAutospacing="1" w:afterAutospacing="1"/>
              <w:jc w:val="right"/>
            </w:pPr>
            <w:r w:rsidRPr="0031655F">
              <w:rPr>
                <w:color w:val="000000"/>
              </w:rPr>
              <w:t>0</w:t>
            </w:r>
          </w:p>
        </w:tc>
        <w:tc>
          <w:tcPr>
            <w:tcW w:w="1370" w:type="dxa"/>
            <w:vAlign w:val="bottom"/>
          </w:tcPr>
          <w:p w14:paraId="439523BA" w14:textId="77777777" w:rsidR="004E7119" w:rsidRPr="0031655F" w:rsidRDefault="002A3363">
            <w:pPr>
              <w:spacing w:beforeAutospacing="1" w:afterAutospacing="1"/>
              <w:jc w:val="right"/>
            </w:pPr>
            <w:r w:rsidRPr="0031655F">
              <w:rPr>
                <w:color w:val="000000"/>
              </w:rPr>
              <w:t>0</w:t>
            </w:r>
          </w:p>
        </w:tc>
        <w:tc>
          <w:tcPr>
            <w:tcW w:w="1370" w:type="dxa"/>
            <w:vAlign w:val="bottom"/>
          </w:tcPr>
          <w:p w14:paraId="4B887ECC" w14:textId="487FAE91" w:rsidR="004E7119" w:rsidRPr="0031655F" w:rsidRDefault="00CF31BD">
            <w:pPr>
              <w:spacing w:beforeAutospacing="1" w:afterAutospacing="1"/>
              <w:jc w:val="right"/>
            </w:pPr>
            <w:r w:rsidRPr="0031655F">
              <w:rPr>
                <w:color w:val="000000"/>
              </w:rPr>
              <w:t>381,597.99</w:t>
            </w:r>
          </w:p>
        </w:tc>
      </w:tr>
      <w:tr w:rsidR="004E7119" w:rsidRPr="0031655F" w14:paraId="0238C299" w14:textId="77777777">
        <w:trPr>
          <w:cantSplit/>
        </w:trPr>
        <w:tc>
          <w:tcPr>
            <w:tcW w:w="1370" w:type="dxa"/>
          </w:tcPr>
          <w:p w14:paraId="7F18BF52" w14:textId="77777777" w:rsidR="004E7119" w:rsidRPr="0031655F" w:rsidRDefault="002A3363">
            <w:pPr>
              <w:spacing w:beforeAutospacing="1" w:afterAutospacing="1"/>
            </w:pPr>
            <w:r w:rsidRPr="0031655F">
              <w:rPr>
                <w:color w:val="000000"/>
              </w:rPr>
              <w:t>Number</w:t>
            </w:r>
          </w:p>
        </w:tc>
        <w:tc>
          <w:tcPr>
            <w:tcW w:w="1370" w:type="dxa"/>
            <w:vAlign w:val="bottom"/>
          </w:tcPr>
          <w:p w14:paraId="73709C94" w14:textId="478439AB" w:rsidR="00CF31BD" w:rsidRPr="0031655F" w:rsidRDefault="00CF31BD">
            <w:pPr>
              <w:spacing w:beforeAutospacing="1" w:afterAutospacing="1"/>
              <w:jc w:val="right"/>
            </w:pPr>
            <w:r w:rsidRPr="0031655F">
              <w:rPr>
                <w:color w:val="000000"/>
              </w:rPr>
              <w:t>1</w:t>
            </w:r>
          </w:p>
        </w:tc>
        <w:tc>
          <w:tcPr>
            <w:tcW w:w="1370" w:type="dxa"/>
            <w:vAlign w:val="bottom"/>
          </w:tcPr>
          <w:p w14:paraId="4233DA45" w14:textId="77777777" w:rsidR="004E7119" w:rsidRPr="0031655F" w:rsidRDefault="002A3363">
            <w:pPr>
              <w:spacing w:beforeAutospacing="1" w:afterAutospacing="1"/>
              <w:jc w:val="right"/>
            </w:pPr>
            <w:r w:rsidRPr="0031655F">
              <w:rPr>
                <w:color w:val="000000"/>
              </w:rPr>
              <w:t>0</w:t>
            </w:r>
          </w:p>
        </w:tc>
        <w:tc>
          <w:tcPr>
            <w:tcW w:w="1370" w:type="dxa"/>
            <w:vAlign w:val="bottom"/>
          </w:tcPr>
          <w:p w14:paraId="5A495052" w14:textId="77777777" w:rsidR="004E7119" w:rsidRPr="0031655F" w:rsidRDefault="002A3363">
            <w:pPr>
              <w:spacing w:beforeAutospacing="1" w:afterAutospacing="1"/>
              <w:jc w:val="right"/>
            </w:pPr>
            <w:r w:rsidRPr="0031655F">
              <w:rPr>
                <w:color w:val="000000"/>
              </w:rPr>
              <w:t>0</w:t>
            </w:r>
          </w:p>
        </w:tc>
        <w:tc>
          <w:tcPr>
            <w:tcW w:w="1370" w:type="dxa"/>
            <w:vAlign w:val="bottom"/>
          </w:tcPr>
          <w:p w14:paraId="499B5007" w14:textId="77777777" w:rsidR="004E7119" w:rsidRPr="0031655F" w:rsidRDefault="002A3363">
            <w:pPr>
              <w:spacing w:beforeAutospacing="1" w:afterAutospacing="1"/>
              <w:jc w:val="right"/>
            </w:pPr>
            <w:r w:rsidRPr="0031655F">
              <w:rPr>
                <w:color w:val="000000"/>
              </w:rPr>
              <w:t>0</w:t>
            </w:r>
          </w:p>
        </w:tc>
        <w:tc>
          <w:tcPr>
            <w:tcW w:w="1370" w:type="dxa"/>
            <w:vAlign w:val="bottom"/>
          </w:tcPr>
          <w:p w14:paraId="6659E825" w14:textId="77777777" w:rsidR="004E7119" w:rsidRPr="0031655F" w:rsidRDefault="002A3363">
            <w:pPr>
              <w:spacing w:beforeAutospacing="1" w:afterAutospacing="1"/>
              <w:jc w:val="right"/>
            </w:pPr>
            <w:r w:rsidRPr="0031655F">
              <w:rPr>
                <w:color w:val="000000"/>
              </w:rPr>
              <w:t>0</w:t>
            </w:r>
          </w:p>
        </w:tc>
        <w:tc>
          <w:tcPr>
            <w:tcW w:w="1370" w:type="dxa"/>
            <w:vAlign w:val="bottom"/>
          </w:tcPr>
          <w:p w14:paraId="222BB7D9" w14:textId="17DFD857" w:rsidR="004E7119" w:rsidRPr="0031655F" w:rsidRDefault="00CF31BD">
            <w:pPr>
              <w:spacing w:beforeAutospacing="1" w:afterAutospacing="1"/>
              <w:jc w:val="right"/>
            </w:pPr>
            <w:r w:rsidRPr="0031655F">
              <w:rPr>
                <w:color w:val="000000"/>
              </w:rPr>
              <w:t>1</w:t>
            </w:r>
          </w:p>
        </w:tc>
      </w:tr>
    </w:tbl>
    <w:p w14:paraId="568E14FD" w14:textId="77777777" w:rsidR="004E7119" w:rsidRPr="0031655F" w:rsidRDefault="004E7119">
      <w:pPr>
        <w:keepNext/>
        <w:widowControl w:val="0"/>
        <w:spacing w:after="0" w:line="240" w:lineRule="auto"/>
        <w:rPr>
          <w:b/>
          <w:vanish/>
          <w:sz w:val="24"/>
          <w:szCs w:val="24"/>
        </w:r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335"/>
        <w:gridCol w:w="1335"/>
        <w:gridCol w:w="1336"/>
        <w:gridCol w:w="1336"/>
        <w:gridCol w:w="1336"/>
        <w:gridCol w:w="1336"/>
        <w:gridCol w:w="1336"/>
      </w:tblGrid>
      <w:tr w:rsidR="004E7119" w:rsidRPr="0031655F" w14:paraId="4C4B7483" w14:textId="77777777">
        <w:trPr>
          <w:cantSplit/>
        </w:trPr>
        <w:tc>
          <w:tcPr>
            <w:tcW w:w="9576" w:type="dxa"/>
            <w:gridSpan w:val="7"/>
          </w:tcPr>
          <w:p w14:paraId="23C80A9A" w14:textId="77777777" w:rsidR="004E7119" w:rsidRPr="0031655F" w:rsidRDefault="002A3363">
            <w:pPr>
              <w:keepNext/>
              <w:widowControl w:val="0"/>
              <w:spacing w:after="0" w:line="240" w:lineRule="auto"/>
              <w:rPr>
                <w:b/>
              </w:rPr>
            </w:pPr>
            <w:r w:rsidRPr="0031655F">
              <w:rPr>
                <w:b/>
              </w:rPr>
              <w:t>Sub-Contracts</w:t>
            </w:r>
          </w:p>
        </w:tc>
      </w:tr>
      <w:tr w:rsidR="004E7119" w:rsidRPr="0031655F" w14:paraId="5AAC0B6C" w14:textId="77777777">
        <w:trPr>
          <w:cantSplit/>
          <w:hidden/>
        </w:trPr>
        <w:tc>
          <w:tcPr>
            <w:tcW w:w="1368" w:type="dxa"/>
          </w:tcPr>
          <w:p w14:paraId="05C192C5" w14:textId="77777777" w:rsidR="004E7119" w:rsidRPr="0031655F" w:rsidRDefault="004E7119">
            <w:pPr>
              <w:keepNext/>
              <w:widowControl w:val="0"/>
              <w:spacing w:after="0" w:line="240" w:lineRule="auto"/>
              <w:rPr>
                <w:b/>
                <w:vanish/>
              </w:rPr>
            </w:pPr>
          </w:p>
        </w:tc>
        <w:tc>
          <w:tcPr>
            <w:tcW w:w="1368" w:type="dxa"/>
          </w:tcPr>
          <w:p w14:paraId="6E28467D" w14:textId="77777777" w:rsidR="004E7119" w:rsidRPr="0031655F" w:rsidRDefault="004E7119">
            <w:pPr>
              <w:keepNext/>
              <w:widowControl w:val="0"/>
              <w:spacing w:after="0" w:line="240" w:lineRule="auto"/>
              <w:rPr>
                <w:b/>
                <w:vanish/>
              </w:rPr>
            </w:pPr>
          </w:p>
        </w:tc>
        <w:tc>
          <w:tcPr>
            <w:tcW w:w="1368" w:type="dxa"/>
          </w:tcPr>
          <w:p w14:paraId="1A2508B9" w14:textId="77777777" w:rsidR="004E7119" w:rsidRPr="0031655F" w:rsidRDefault="004E7119">
            <w:pPr>
              <w:keepNext/>
              <w:widowControl w:val="0"/>
              <w:spacing w:after="0" w:line="240" w:lineRule="auto"/>
              <w:rPr>
                <w:b/>
                <w:vanish/>
              </w:rPr>
            </w:pPr>
          </w:p>
        </w:tc>
        <w:tc>
          <w:tcPr>
            <w:tcW w:w="1368" w:type="dxa"/>
          </w:tcPr>
          <w:p w14:paraId="19CC567C" w14:textId="77777777" w:rsidR="004E7119" w:rsidRPr="0031655F" w:rsidRDefault="004E7119">
            <w:pPr>
              <w:keepNext/>
              <w:widowControl w:val="0"/>
              <w:spacing w:after="0" w:line="240" w:lineRule="auto"/>
              <w:rPr>
                <w:b/>
                <w:vanish/>
              </w:rPr>
            </w:pPr>
          </w:p>
        </w:tc>
        <w:tc>
          <w:tcPr>
            <w:tcW w:w="1368" w:type="dxa"/>
          </w:tcPr>
          <w:p w14:paraId="4F1E8C24" w14:textId="77777777" w:rsidR="004E7119" w:rsidRPr="0031655F" w:rsidRDefault="004E7119">
            <w:pPr>
              <w:keepNext/>
              <w:widowControl w:val="0"/>
              <w:spacing w:after="0" w:line="240" w:lineRule="auto"/>
              <w:rPr>
                <w:b/>
                <w:vanish/>
              </w:rPr>
            </w:pPr>
          </w:p>
        </w:tc>
        <w:tc>
          <w:tcPr>
            <w:tcW w:w="1368" w:type="dxa"/>
          </w:tcPr>
          <w:p w14:paraId="61F32AA6" w14:textId="77777777" w:rsidR="004E7119" w:rsidRPr="0031655F" w:rsidRDefault="004E7119">
            <w:pPr>
              <w:keepNext/>
              <w:widowControl w:val="0"/>
              <w:spacing w:after="0" w:line="240" w:lineRule="auto"/>
              <w:rPr>
                <w:b/>
                <w:vanish/>
              </w:rPr>
            </w:pPr>
          </w:p>
        </w:tc>
        <w:tc>
          <w:tcPr>
            <w:tcW w:w="1368" w:type="dxa"/>
          </w:tcPr>
          <w:p w14:paraId="48B81FE2" w14:textId="77777777" w:rsidR="004E7119" w:rsidRPr="0031655F" w:rsidRDefault="004E7119">
            <w:pPr>
              <w:keepNext/>
              <w:widowControl w:val="0"/>
              <w:spacing w:after="0" w:line="240" w:lineRule="auto"/>
              <w:rPr>
                <w:b/>
                <w:vanish/>
              </w:rPr>
            </w:pPr>
          </w:p>
        </w:tc>
      </w:tr>
      <w:tr w:rsidR="004E7119" w:rsidRPr="0031655F" w14:paraId="5E2023C1" w14:textId="77777777">
        <w:trPr>
          <w:cantSplit/>
        </w:trPr>
        <w:tc>
          <w:tcPr>
            <w:tcW w:w="1370" w:type="dxa"/>
          </w:tcPr>
          <w:p w14:paraId="153F24C6" w14:textId="77777777" w:rsidR="004E7119" w:rsidRPr="0031655F" w:rsidRDefault="002A3363">
            <w:pPr>
              <w:spacing w:beforeAutospacing="1" w:afterAutospacing="1"/>
            </w:pPr>
            <w:r w:rsidRPr="0031655F">
              <w:rPr>
                <w:color w:val="000000"/>
              </w:rPr>
              <w:t>Number</w:t>
            </w:r>
          </w:p>
        </w:tc>
        <w:tc>
          <w:tcPr>
            <w:tcW w:w="1370" w:type="dxa"/>
            <w:vAlign w:val="bottom"/>
          </w:tcPr>
          <w:p w14:paraId="3272810B" w14:textId="77777777" w:rsidR="004E7119" w:rsidRPr="0031655F" w:rsidRDefault="002A3363">
            <w:pPr>
              <w:spacing w:beforeAutospacing="1" w:afterAutospacing="1"/>
              <w:jc w:val="right"/>
            </w:pPr>
            <w:r w:rsidRPr="0031655F">
              <w:rPr>
                <w:color w:val="000000"/>
              </w:rPr>
              <w:t>0</w:t>
            </w:r>
          </w:p>
        </w:tc>
        <w:tc>
          <w:tcPr>
            <w:tcW w:w="1370" w:type="dxa"/>
            <w:vAlign w:val="bottom"/>
          </w:tcPr>
          <w:p w14:paraId="6DCD56EA" w14:textId="77777777" w:rsidR="004E7119" w:rsidRPr="0031655F" w:rsidRDefault="002A3363">
            <w:pPr>
              <w:spacing w:beforeAutospacing="1" w:afterAutospacing="1"/>
              <w:jc w:val="right"/>
            </w:pPr>
            <w:r w:rsidRPr="0031655F">
              <w:rPr>
                <w:color w:val="000000"/>
              </w:rPr>
              <w:t>0</w:t>
            </w:r>
          </w:p>
        </w:tc>
        <w:tc>
          <w:tcPr>
            <w:tcW w:w="1370" w:type="dxa"/>
            <w:vAlign w:val="bottom"/>
          </w:tcPr>
          <w:p w14:paraId="798C39A1" w14:textId="77777777" w:rsidR="004E7119" w:rsidRPr="0031655F" w:rsidRDefault="002A3363">
            <w:pPr>
              <w:spacing w:beforeAutospacing="1" w:afterAutospacing="1"/>
              <w:jc w:val="right"/>
            </w:pPr>
            <w:r w:rsidRPr="0031655F">
              <w:rPr>
                <w:color w:val="000000"/>
              </w:rPr>
              <w:t>0</w:t>
            </w:r>
          </w:p>
        </w:tc>
        <w:tc>
          <w:tcPr>
            <w:tcW w:w="1370" w:type="dxa"/>
            <w:vAlign w:val="bottom"/>
          </w:tcPr>
          <w:p w14:paraId="138BC19D" w14:textId="77777777" w:rsidR="004E7119" w:rsidRPr="0031655F" w:rsidRDefault="002A3363">
            <w:pPr>
              <w:spacing w:beforeAutospacing="1" w:afterAutospacing="1"/>
              <w:jc w:val="right"/>
            </w:pPr>
            <w:r w:rsidRPr="0031655F">
              <w:rPr>
                <w:color w:val="000000"/>
              </w:rPr>
              <w:t>0</w:t>
            </w:r>
          </w:p>
        </w:tc>
        <w:tc>
          <w:tcPr>
            <w:tcW w:w="1370" w:type="dxa"/>
            <w:vAlign w:val="bottom"/>
          </w:tcPr>
          <w:p w14:paraId="738F5BB4" w14:textId="77777777" w:rsidR="004E7119" w:rsidRPr="0031655F" w:rsidRDefault="002A3363">
            <w:pPr>
              <w:spacing w:beforeAutospacing="1" w:afterAutospacing="1"/>
              <w:jc w:val="right"/>
            </w:pPr>
            <w:r w:rsidRPr="0031655F">
              <w:rPr>
                <w:color w:val="000000"/>
              </w:rPr>
              <w:t>0</w:t>
            </w:r>
          </w:p>
        </w:tc>
        <w:tc>
          <w:tcPr>
            <w:tcW w:w="1370" w:type="dxa"/>
            <w:vAlign w:val="bottom"/>
          </w:tcPr>
          <w:p w14:paraId="5DBE0705" w14:textId="77777777" w:rsidR="004E7119" w:rsidRPr="0031655F" w:rsidRDefault="002A3363">
            <w:pPr>
              <w:spacing w:beforeAutospacing="1" w:afterAutospacing="1"/>
              <w:jc w:val="right"/>
            </w:pPr>
            <w:r w:rsidRPr="0031655F">
              <w:rPr>
                <w:color w:val="000000"/>
              </w:rPr>
              <w:t>0</w:t>
            </w:r>
          </w:p>
        </w:tc>
      </w:tr>
      <w:tr w:rsidR="004E7119" w:rsidRPr="0031655F" w14:paraId="313CCC82" w14:textId="77777777">
        <w:trPr>
          <w:cantSplit/>
        </w:trPr>
        <w:tc>
          <w:tcPr>
            <w:tcW w:w="1370" w:type="dxa"/>
          </w:tcPr>
          <w:p w14:paraId="12089442" w14:textId="77777777" w:rsidR="004E7119" w:rsidRPr="0031655F" w:rsidRDefault="002A3363">
            <w:pPr>
              <w:spacing w:beforeAutospacing="1" w:afterAutospacing="1"/>
            </w:pPr>
            <w:r w:rsidRPr="0031655F">
              <w:rPr>
                <w:color w:val="000000"/>
              </w:rPr>
              <w:t>Dollar Amount</w:t>
            </w:r>
          </w:p>
        </w:tc>
        <w:tc>
          <w:tcPr>
            <w:tcW w:w="1370" w:type="dxa"/>
            <w:vAlign w:val="bottom"/>
          </w:tcPr>
          <w:p w14:paraId="6E2C6617" w14:textId="77777777" w:rsidR="004E7119" w:rsidRPr="0031655F" w:rsidRDefault="002A3363">
            <w:pPr>
              <w:spacing w:beforeAutospacing="1" w:afterAutospacing="1"/>
              <w:jc w:val="right"/>
            </w:pPr>
            <w:r w:rsidRPr="0031655F">
              <w:rPr>
                <w:color w:val="000000"/>
              </w:rPr>
              <w:t>0</w:t>
            </w:r>
          </w:p>
        </w:tc>
        <w:tc>
          <w:tcPr>
            <w:tcW w:w="1370" w:type="dxa"/>
            <w:vAlign w:val="bottom"/>
          </w:tcPr>
          <w:p w14:paraId="38557073" w14:textId="77777777" w:rsidR="004E7119" w:rsidRPr="0031655F" w:rsidRDefault="002A3363">
            <w:pPr>
              <w:spacing w:beforeAutospacing="1" w:afterAutospacing="1"/>
              <w:jc w:val="right"/>
            </w:pPr>
            <w:r w:rsidRPr="0031655F">
              <w:rPr>
                <w:color w:val="000000"/>
              </w:rPr>
              <w:t>0</w:t>
            </w:r>
          </w:p>
        </w:tc>
        <w:tc>
          <w:tcPr>
            <w:tcW w:w="1370" w:type="dxa"/>
            <w:vAlign w:val="bottom"/>
          </w:tcPr>
          <w:p w14:paraId="40C7BB6D" w14:textId="77777777" w:rsidR="004E7119" w:rsidRPr="0031655F" w:rsidRDefault="002A3363">
            <w:pPr>
              <w:spacing w:beforeAutospacing="1" w:afterAutospacing="1"/>
              <w:jc w:val="right"/>
            </w:pPr>
            <w:r w:rsidRPr="0031655F">
              <w:rPr>
                <w:color w:val="000000"/>
              </w:rPr>
              <w:t>0</w:t>
            </w:r>
          </w:p>
        </w:tc>
        <w:tc>
          <w:tcPr>
            <w:tcW w:w="1370" w:type="dxa"/>
            <w:vAlign w:val="bottom"/>
          </w:tcPr>
          <w:p w14:paraId="496E21A9" w14:textId="77777777" w:rsidR="004E7119" w:rsidRPr="0031655F" w:rsidRDefault="002A3363">
            <w:pPr>
              <w:spacing w:beforeAutospacing="1" w:afterAutospacing="1"/>
              <w:jc w:val="right"/>
            </w:pPr>
            <w:r w:rsidRPr="0031655F">
              <w:rPr>
                <w:color w:val="000000"/>
              </w:rPr>
              <w:t>0</w:t>
            </w:r>
          </w:p>
        </w:tc>
        <w:tc>
          <w:tcPr>
            <w:tcW w:w="1370" w:type="dxa"/>
            <w:vAlign w:val="bottom"/>
          </w:tcPr>
          <w:p w14:paraId="210E1ACD" w14:textId="77777777" w:rsidR="004E7119" w:rsidRPr="0031655F" w:rsidRDefault="002A3363">
            <w:pPr>
              <w:spacing w:beforeAutospacing="1" w:afterAutospacing="1"/>
              <w:jc w:val="right"/>
            </w:pPr>
            <w:r w:rsidRPr="0031655F">
              <w:rPr>
                <w:color w:val="000000"/>
              </w:rPr>
              <w:t>0</w:t>
            </w:r>
          </w:p>
        </w:tc>
        <w:tc>
          <w:tcPr>
            <w:tcW w:w="1370" w:type="dxa"/>
            <w:vAlign w:val="bottom"/>
          </w:tcPr>
          <w:p w14:paraId="3526EC1C" w14:textId="77777777" w:rsidR="004E7119" w:rsidRPr="0031655F" w:rsidRDefault="002A3363">
            <w:pPr>
              <w:spacing w:beforeAutospacing="1" w:afterAutospacing="1"/>
              <w:jc w:val="right"/>
            </w:pPr>
            <w:r w:rsidRPr="0031655F">
              <w:rPr>
                <w:color w:val="000000"/>
              </w:rPr>
              <w:t>0</w:t>
            </w:r>
          </w:p>
        </w:tc>
      </w:tr>
    </w:tbl>
    <w:p w14:paraId="047E6502" w14:textId="77777777" w:rsidR="004E7119" w:rsidRPr="0031655F" w:rsidRDefault="004E7119">
      <w:pPr>
        <w:widowControl w:val="0"/>
        <w:spacing w:after="0" w:line="240" w:lineRule="auto"/>
        <w:rPr>
          <w:b/>
          <w:vanish/>
          <w:sz w:val="24"/>
          <w:szCs w:val="24"/>
        </w:rPr>
      </w:pPr>
    </w:p>
    <w:tbl>
      <w:tblPr>
        <w:tblW w:w="286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337"/>
        <w:gridCol w:w="1337"/>
        <w:gridCol w:w="1337"/>
        <w:gridCol w:w="1337"/>
      </w:tblGrid>
      <w:tr w:rsidR="004E7119" w:rsidRPr="0031655F" w14:paraId="03B109CF" w14:textId="77777777">
        <w:trPr>
          <w:cantSplit/>
        </w:trPr>
        <w:tc>
          <w:tcPr>
            <w:tcW w:w="1394" w:type="dxa"/>
          </w:tcPr>
          <w:p w14:paraId="7FF59FAA" w14:textId="77777777" w:rsidR="004E7119" w:rsidRPr="0031655F" w:rsidRDefault="004E7119">
            <w:pPr>
              <w:keepNext/>
              <w:widowControl w:val="0"/>
              <w:spacing w:after="0" w:line="240" w:lineRule="auto"/>
              <w:rPr>
                <w:b/>
              </w:rPr>
            </w:pPr>
          </w:p>
        </w:tc>
        <w:tc>
          <w:tcPr>
            <w:tcW w:w="1393" w:type="dxa"/>
          </w:tcPr>
          <w:p w14:paraId="0CFB47D4" w14:textId="77777777" w:rsidR="004E7119" w:rsidRPr="0031655F" w:rsidRDefault="002A3363">
            <w:pPr>
              <w:keepNext/>
              <w:widowControl w:val="0"/>
              <w:spacing w:after="0" w:line="240" w:lineRule="auto"/>
              <w:jc w:val="center"/>
              <w:rPr>
                <w:b/>
              </w:rPr>
            </w:pPr>
            <w:r w:rsidRPr="0031655F">
              <w:rPr>
                <w:b/>
              </w:rPr>
              <w:t>Total</w:t>
            </w:r>
          </w:p>
        </w:tc>
        <w:tc>
          <w:tcPr>
            <w:tcW w:w="1393" w:type="dxa"/>
          </w:tcPr>
          <w:p w14:paraId="1EFF484A" w14:textId="77777777" w:rsidR="004E7119" w:rsidRPr="0031655F" w:rsidRDefault="002A3363">
            <w:pPr>
              <w:keepNext/>
              <w:widowControl w:val="0"/>
              <w:spacing w:after="0" w:line="240" w:lineRule="auto"/>
              <w:jc w:val="center"/>
              <w:rPr>
                <w:b/>
                <w:szCs w:val="24"/>
              </w:rPr>
            </w:pPr>
            <w:r w:rsidRPr="0031655F">
              <w:rPr>
                <w:b/>
              </w:rPr>
              <w:t>Women Business Enterprises</w:t>
            </w:r>
          </w:p>
        </w:tc>
        <w:tc>
          <w:tcPr>
            <w:tcW w:w="1393" w:type="dxa"/>
          </w:tcPr>
          <w:p w14:paraId="4285022B" w14:textId="77777777" w:rsidR="004E7119" w:rsidRPr="0031655F" w:rsidRDefault="002A3363">
            <w:pPr>
              <w:keepNext/>
              <w:widowControl w:val="0"/>
              <w:spacing w:after="0" w:line="240" w:lineRule="auto"/>
              <w:jc w:val="center"/>
              <w:rPr>
                <w:b/>
                <w:szCs w:val="24"/>
              </w:rPr>
            </w:pPr>
            <w:r w:rsidRPr="0031655F">
              <w:rPr>
                <w:b/>
              </w:rPr>
              <w:t>Male</w:t>
            </w:r>
          </w:p>
        </w:tc>
      </w:tr>
    </w:tbl>
    <w:p w14:paraId="39D20A0A" w14:textId="77777777" w:rsidR="004E7119" w:rsidRPr="0031655F" w:rsidRDefault="004E7119">
      <w:pPr>
        <w:keepNext/>
        <w:widowControl w:val="0"/>
        <w:spacing w:after="0" w:line="240" w:lineRule="auto"/>
        <w:rPr>
          <w:b/>
          <w:vanish/>
          <w:sz w:val="24"/>
          <w:szCs w:val="24"/>
        </w:rPr>
      </w:pPr>
    </w:p>
    <w:tbl>
      <w:tblPr>
        <w:tblW w:w="286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358"/>
        <w:gridCol w:w="1330"/>
        <w:gridCol w:w="1330"/>
        <w:gridCol w:w="1330"/>
      </w:tblGrid>
      <w:tr w:rsidR="004E7119" w:rsidRPr="0031655F" w14:paraId="7C72B2A9" w14:textId="77777777">
        <w:trPr>
          <w:cantSplit/>
        </w:trPr>
        <w:tc>
          <w:tcPr>
            <w:tcW w:w="5485" w:type="dxa"/>
            <w:gridSpan w:val="4"/>
          </w:tcPr>
          <w:p w14:paraId="49D7F22E" w14:textId="77777777" w:rsidR="004E7119" w:rsidRPr="0031655F" w:rsidRDefault="002A3363">
            <w:pPr>
              <w:keepNext/>
              <w:widowControl w:val="0"/>
              <w:spacing w:after="0" w:line="240" w:lineRule="auto"/>
              <w:rPr>
                <w:b/>
              </w:rPr>
            </w:pPr>
            <w:r w:rsidRPr="0031655F">
              <w:rPr>
                <w:b/>
              </w:rPr>
              <w:t>Contracts</w:t>
            </w:r>
          </w:p>
        </w:tc>
      </w:tr>
      <w:tr w:rsidR="004E7119" w:rsidRPr="0031655F" w14:paraId="5559241C" w14:textId="77777777">
        <w:trPr>
          <w:cantSplit/>
          <w:hidden/>
        </w:trPr>
        <w:tc>
          <w:tcPr>
            <w:tcW w:w="1393" w:type="dxa"/>
          </w:tcPr>
          <w:p w14:paraId="573D096F" w14:textId="77777777" w:rsidR="004E7119" w:rsidRPr="0031655F" w:rsidRDefault="004E7119">
            <w:pPr>
              <w:keepNext/>
              <w:widowControl w:val="0"/>
              <w:spacing w:after="0" w:line="240" w:lineRule="auto"/>
              <w:rPr>
                <w:b/>
                <w:vanish/>
              </w:rPr>
            </w:pPr>
          </w:p>
        </w:tc>
        <w:tc>
          <w:tcPr>
            <w:tcW w:w="1364" w:type="dxa"/>
          </w:tcPr>
          <w:p w14:paraId="5B9FD3E5" w14:textId="77777777" w:rsidR="004E7119" w:rsidRPr="0031655F" w:rsidRDefault="004E7119">
            <w:pPr>
              <w:keepNext/>
              <w:widowControl w:val="0"/>
              <w:spacing w:after="0" w:line="240" w:lineRule="auto"/>
              <w:rPr>
                <w:b/>
                <w:vanish/>
              </w:rPr>
            </w:pPr>
          </w:p>
        </w:tc>
        <w:tc>
          <w:tcPr>
            <w:tcW w:w="1364" w:type="dxa"/>
          </w:tcPr>
          <w:p w14:paraId="1D90D99A" w14:textId="77777777" w:rsidR="004E7119" w:rsidRPr="0031655F" w:rsidRDefault="004E7119">
            <w:pPr>
              <w:keepNext/>
              <w:widowControl w:val="0"/>
              <w:spacing w:after="0" w:line="240" w:lineRule="auto"/>
              <w:rPr>
                <w:b/>
                <w:vanish/>
              </w:rPr>
            </w:pPr>
          </w:p>
        </w:tc>
        <w:tc>
          <w:tcPr>
            <w:tcW w:w="1364" w:type="dxa"/>
          </w:tcPr>
          <w:p w14:paraId="58F8A184" w14:textId="77777777" w:rsidR="004E7119" w:rsidRPr="0031655F" w:rsidRDefault="004E7119">
            <w:pPr>
              <w:keepNext/>
              <w:widowControl w:val="0"/>
              <w:spacing w:after="0" w:line="240" w:lineRule="auto"/>
              <w:rPr>
                <w:b/>
                <w:vanish/>
              </w:rPr>
            </w:pPr>
          </w:p>
        </w:tc>
      </w:tr>
      <w:tr w:rsidR="004E7119" w:rsidRPr="0031655F" w14:paraId="60D11972" w14:textId="77777777">
        <w:trPr>
          <w:cantSplit/>
        </w:trPr>
        <w:tc>
          <w:tcPr>
            <w:tcW w:w="1393" w:type="dxa"/>
          </w:tcPr>
          <w:p w14:paraId="57CB3A3C" w14:textId="77777777" w:rsidR="004E7119" w:rsidRPr="0031655F" w:rsidRDefault="002A3363">
            <w:pPr>
              <w:spacing w:beforeAutospacing="1" w:afterAutospacing="1"/>
            </w:pPr>
            <w:r w:rsidRPr="0031655F">
              <w:rPr>
                <w:color w:val="000000"/>
              </w:rPr>
              <w:t>Dollar Amount</w:t>
            </w:r>
          </w:p>
        </w:tc>
        <w:tc>
          <w:tcPr>
            <w:tcW w:w="1364" w:type="dxa"/>
            <w:vAlign w:val="bottom"/>
          </w:tcPr>
          <w:p w14:paraId="2A85F780" w14:textId="08AB7E05" w:rsidR="004E7119" w:rsidRPr="0031655F" w:rsidRDefault="00CF31BD">
            <w:pPr>
              <w:spacing w:beforeAutospacing="1" w:afterAutospacing="1"/>
              <w:jc w:val="right"/>
            </w:pPr>
            <w:r w:rsidRPr="0031655F">
              <w:rPr>
                <w:color w:val="000000"/>
              </w:rPr>
              <w:t>381,597.99</w:t>
            </w:r>
          </w:p>
        </w:tc>
        <w:tc>
          <w:tcPr>
            <w:tcW w:w="1364" w:type="dxa"/>
            <w:vAlign w:val="bottom"/>
          </w:tcPr>
          <w:p w14:paraId="7074ABF5" w14:textId="77777777" w:rsidR="004E7119" w:rsidRPr="0031655F" w:rsidRDefault="002A3363">
            <w:pPr>
              <w:spacing w:beforeAutospacing="1" w:afterAutospacing="1"/>
              <w:jc w:val="right"/>
            </w:pPr>
            <w:r w:rsidRPr="0031655F">
              <w:rPr>
                <w:color w:val="000000"/>
              </w:rPr>
              <w:t>0</w:t>
            </w:r>
          </w:p>
        </w:tc>
        <w:tc>
          <w:tcPr>
            <w:tcW w:w="1364" w:type="dxa"/>
            <w:vAlign w:val="bottom"/>
          </w:tcPr>
          <w:p w14:paraId="46F5DAA0" w14:textId="2130ADC6" w:rsidR="004E7119" w:rsidRPr="0031655F" w:rsidRDefault="00CF31BD">
            <w:pPr>
              <w:spacing w:beforeAutospacing="1" w:afterAutospacing="1"/>
              <w:jc w:val="right"/>
            </w:pPr>
            <w:r w:rsidRPr="0031655F">
              <w:rPr>
                <w:color w:val="000000"/>
              </w:rPr>
              <w:t>381,597.99</w:t>
            </w:r>
          </w:p>
        </w:tc>
      </w:tr>
      <w:tr w:rsidR="004E7119" w:rsidRPr="0031655F" w14:paraId="4BFDD259" w14:textId="77777777">
        <w:trPr>
          <w:cantSplit/>
        </w:trPr>
        <w:tc>
          <w:tcPr>
            <w:tcW w:w="1393" w:type="dxa"/>
          </w:tcPr>
          <w:p w14:paraId="50CA04C7" w14:textId="77777777" w:rsidR="004E7119" w:rsidRPr="0031655F" w:rsidRDefault="002A3363">
            <w:pPr>
              <w:spacing w:beforeAutospacing="1" w:afterAutospacing="1"/>
            </w:pPr>
            <w:r w:rsidRPr="0031655F">
              <w:rPr>
                <w:color w:val="000000"/>
              </w:rPr>
              <w:t>Number</w:t>
            </w:r>
          </w:p>
        </w:tc>
        <w:tc>
          <w:tcPr>
            <w:tcW w:w="1364" w:type="dxa"/>
            <w:vAlign w:val="bottom"/>
          </w:tcPr>
          <w:p w14:paraId="71262261" w14:textId="77777777" w:rsidR="004E7119" w:rsidRPr="0031655F" w:rsidRDefault="002A3363">
            <w:pPr>
              <w:spacing w:beforeAutospacing="1" w:afterAutospacing="1"/>
              <w:jc w:val="right"/>
            </w:pPr>
            <w:r w:rsidRPr="0031655F">
              <w:rPr>
                <w:color w:val="000000"/>
              </w:rPr>
              <w:t>1</w:t>
            </w:r>
          </w:p>
        </w:tc>
        <w:tc>
          <w:tcPr>
            <w:tcW w:w="1364" w:type="dxa"/>
            <w:vAlign w:val="bottom"/>
          </w:tcPr>
          <w:p w14:paraId="5F01C624" w14:textId="77777777" w:rsidR="004E7119" w:rsidRPr="0031655F" w:rsidRDefault="002A3363">
            <w:pPr>
              <w:spacing w:beforeAutospacing="1" w:afterAutospacing="1"/>
              <w:jc w:val="right"/>
            </w:pPr>
            <w:r w:rsidRPr="0031655F">
              <w:rPr>
                <w:color w:val="000000"/>
              </w:rPr>
              <w:t>0</w:t>
            </w:r>
          </w:p>
        </w:tc>
        <w:tc>
          <w:tcPr>
            <w:tcW w:w="1364" w:type="dxa"/>
            <w:vAlign w:val="bottom"/>
          </w:tcPr>
          <w:p w14:paraId="621B4A4A" w14:textId="77777777" w:rsidR="004E7119" w:rsidRPr="0031655F" w:rsidRDefault="002A3363">
            <w:pPr>
              <w:spacing w:beforeAutospacing="1" w:afterAutospacing="1"/>
              <w:jc w:val="right"/>
            </w:pPr>
            <w:r w:rsidRPr="0031655F">
              <w:rPr>
                <w:color w:val="000000"/>
              </w:rPr>
              <w:t>1</w:t>
            </w:r>
          </w:p>
        </w:tc>
      </w:tr>
    </w:tbl>
    <w:p w14:paraId="637B7586" w14:textId="77777777" w:rsidR="004E7119" w:rsidRPr="0031655F" w:rsidRDefault="004E7119">
      <w:pPr>
        <w:widowControl w:val="0"/>
        <w:spacing w:after="0" w:line="240" w:lineRule="auto"/>
        <w:rPr>
          <w:b/>
          <w:vanish/>
          <w:sz w:val="24"/>
          <w:szCs w:val="24"/>
        </w:rPr>
      </w:pPr>
    </w:p>
    <w:tbl>
      <w:tblPr>
        <w:tblW w:w="286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358"/>
        <w:gridCol w:w="1330"/>
        <w:gridCol w:w="1330"/>
        <w:gridCol w:w="1330"/>
      </w:tblGrid>
      <w:tr w:rsidR="004E7119" w:rsidRPr="0031655F" w14:paraId="68C05033" w14:textId="77777777">
        <w:trPr>
          <w:cantSplit/>
        </w:trPr>
        <w:tc>
          <w:tcPr>
            <w:tcW w:w="5485" w:type="dxa"/>
            <w:gridSpan w:val="4"/>
          </w:tcPr>
          <w:p w14:paraId="125883AD" w14:textId="77777777" w:rsidR="004E7119" w:rsidRPr="0031655F" w:rsidRDefault="002A3363">
            <w:pPr>
              <w:keepNext/>
              <w:widowControl w:val="0"/>
              <w:spacing w:after="0" w:line="240" w:lineRule="auto"/>
              <w:rPr>
                <w:b/>
              </w:rPr>
            </w:pPr>
            <w:r w:rsidRPr="0031655F">
              <w:rPr>
                <w:b/>
              </w:rPr>
              <w:t>Sub-Contracts</w:t>
            </w:r>
          </w:p>
        </w:tc>
      </w:tr>
      <w:tr w:rsidR="004E7119" w:rsidRPr="0031655F" w14:paraId="11F8E5C9" w14:textId="77777777">
        <w:trPr>
          <w:cantSplit/>
          <w:hidden/>
        </w:trPr>
        <w:tc>
          <w:tcPr>
            <w:tcW w:w="1393" w:type="dxa"/>
          </w:tcPr>
          <w:p w14:paraId="34D191E4" w14:textId="77777777" w:rsidR="004E7119" w:rsidRPr="0031655F" w:rsidRDefault="004E7119">
            <w:pPr>
              <w:keepNext/>
              <w:widowControl w:val="0"/>
              <w:spacing w:after="0" w:line="240" w:lineRule="auto"/>
              <w:rPr>
                <w:b/>
                <w:vanish/>
              </w:rPr>
            </w:pPr>
          </w:p>
        </w:tc>
        <w:tc>
          <w:tcPr>
            <w:tcW w:w="1364" w:type="dxa"/>
          </w:tcPr>
          <w:p w14:paraId="66D697BD" w14:textId="77777777" w:rsidR="004E7119" w:rsidRPr="0031655F" w:rsidRDefault="004E7119">
            <w:pPr>
              <w:keepNext/>
              <w:widowControl w:val="0"/>
              <w:spacing w:after="0" w:line="240" w:lineRule="auto"/>
              <w:rPr>
                <w:b/>
                <w:vanish/>
              </w:rPr>
            </w:pPr>
          </w:p>
        </w:tc>
        <w:tc>
          <w:tcPr>
            <w:tcW w:w="1364" w:type="dxa"/>
          </w:tcPr>
          <w:p w14:paraId="51882B8A" w14:textId="77777777" w:rsidR="004E7119" w:rsidRPr="0031655F" w:rsidRDefault="004E7119">
            <w:pPr>
              <w:keepNext/>
              <w:widowControl w:val="0"/>
              <w:spacing w:after="0" w:line="240" w:lineRule="auto"/>
              <w:rPr>
                <w:b/>
                <w:vanish/>
              </w:rPr>
            </w:pPr>
          </w:p>
        </w:tc>
        <w:tc>
          <w:tcPr>
            <w:tcW w:w="1364" w:type="dxa"/>
          </w:tcPr>
          <w:p w14:paraId="6FFB2CF7" w14:textId="77777777" w:rsidR="004E7119" w:rsidRPr="0031655F" w:rsidRDefault="004E7119">
            <w:pPr>
              <w:keepNext/>
              <w:widowControl w:val="0"/>
              <w:spacing w:after="0" w:line="240" w:lineRule="auto"/>
              <w:rPr>
                <w:b/>
                <w:vanish/>
              </w:rPr>
            </w:pPr>
          </w:p>
        </w:tc>
      </w:tr>
      <w:tr w:rsidR="004E7119" w14:paraId="5A1EE1A8" w14:textId="77777777">
        <w:trPr>
          <w:cantSplit/>
        </w:trPr>
        <w:tc>
          <w:tcPr>
            <w:tcW w:w="1393" w:type="dxa"/>
          </w:tcPr>
          <w:p w14:paraId="149412C9" w14:textId="77777777" w:rsidR="004E7119" w:rsidRPr="0031655F" w:rsidRDefault="002A3363">
            <w:pPr>
              <w:spacing w:beforeAutospacing="1" w:afterAutospacing="1"/>
            </w:pPr>
            <w:r w:rsidRPr="0031655F">
              <w:rPr>
                <w:color w:val="000000"/>
              </w:rPr>
              <w:t>Number</w:t>
            </w:r>
          </w:p>
        </w:tc>
        <w:tc>
          <w:tcPr>
            <w:tcW w:w="1364" w:type="dxa"/>
            <w:vAlign w:val="bottom"/>
          </w:tcPr>
          <w:p w14:paraId="0FA1566E" w14:textId="77777777" w:rsidR="004E7119" w:rsidRPr="0031655F" w:rsidRDefault="002A3363">
            <w:pPr>
              <w:spacing w:beforeAutospacing="1" w:afterAutospacing="1"/>
              <w:jc w:val="right"/>
            </w:pPr>
            <w:r w:rsidRPr="0031655F">
              <w:rPr>
                <w:color w:val="000000"/>
              </w:rPr>
              <w:t>0</w:t>
            </w:r>
          </w:p>
        </w:tc>
        <w:tc>
          <w:tcPr>
            <w:tcW w:w="1364" w:type="dxa"/>
            <w:vAlign w:val="bottom"/>
          </w:tcPr>
          <w:p w14:paraId="3B7D7049" w14:textId="77777777" w:rsidR="004E7119" w:rsidRPr="0031655F" w:rsidRDefault="002A3363">
            <w:pPr>
              <w:spacing w:beforeAutospacing="1" w:afterAutospacing="1"/>
              <w:jc w:val="right"/>
            </w:pPr>
            <w:r w:rsidRPr="0031655F">
              <w:rPr>
                <w:color w:val="000000"/>
              </w:rPr>
              <w:t>0</w:t>
            </w:r>
          </w:p>
        </w:tc>
        <w:tc>
          <w:tcPr>
            <w:tcW w:w="1364" w:type="dxa"/>
            <w:vAlign w:val="bottom"/>
          </w:tcPr>
          <w:p w14:paraId="56496E72" w14:textId="77777777" w:rsidR="004E7119" w:rsidRDefault="002A3363">
            <w:pPr>
              <w:spacing w:beforeAutospacing="1" w:afterAutospacing="1"/>
              <w:jc w:val="right"/>
            </w:pPr>
            <w:r w:rsidRPr="0031655F">
              <w:rPr>
                <w:color w:val="000000"/>
              </w:rPr>
              <w:t>0</w:t>
            </w:r>
          </w:p>
        </w:tc>
      </w:tr>
      <w:tr w:rsidR="004E7119" w14:paraId="2A99CC90" w14:textId="77777777">
        <w:trPr>
          <w:cantSplit/>
        </w:trPr>
        <w:tc>
          <w:tcPr>
            <w:tcW w:w="1393" w:type="dxa"/>
          </w:tcPr>
          <w:p w14:paraId="6DC3C67E" w14:textId="77777777" w:rsidR="004E7119" w:rsidRDefault="002A3363">
            <w:pPr>
              <w:spacing w:beforeAutospacing="1" w:afterAutospacing="1"/>
            </w:pPr>
            <w:r>
              <w:rPr>
                <w:color w:val="000000"/>
              </w:rPr>
              <w:t>Dollar Amount</w:t>
            </w:r>
          </w:p>
        </w:tc>
        <w:tc>
          <w:tcPr>
            <w:tcW w:w="1364" w:type="dxa"/>
            <w:vAlign w:val="bottom"/>
          </w:tcPr>
          <w:p w14:paraId="0AA2AF29" w14:textId="77777777" w:rsidR="004E7119" w:rsidRDefault="002A3363">
            <w:pPr>
              <w:spacing w:beforeAutospacing="1" w:afterAutospacing="1"/>
              <w:jc w:val="right"/>
            </w:pPr>
            <w:r>
              <w:rPr>
                <w:color w:val="000000"/>
              </w:rPr>
              <w:t>0</w:t>
            </w:r>
          </w:p>
        </w:tc>
        <w:tc>
          <w:tcPr>
            <w:tcW w:w="1364" w:type="dxa"/>
            <w:vAlign w:val="bottom"/>
          </w:tcPr>
          <w:p w14:paraId="1E267437" w14:textId="77777777" w:rsidR="004E7119" w:rsidRDefault="002A3363">
            <w:pPr>
              <w:spacing w:beforeAutospacing="1" w:afterAutospacing="1"/>
              <w:jc w:val="right"/>
            </w:pPr>
            <w:r>
              <w:rPr>
                <w:color w:val="000000"/>
              </w:rPr>
              <w:t>0</w:t>
            </w:r>
          </w:p>
        </w:tc>
        <w:tc>
          <w:tcPr>
            <w:tcW w:w="1364" w:type="dxa"/>
            <w:vAlign w:val="bottom"/>
          </w:tcPr>
          <w:p w14:paraId="44451DEC" w14:textId="77777777" w:rsidR="004E7119" w:rsidRDefault="002A3363">
            <w:pPr>
              <w:spacing w:beforeAutospacing="1" w:afterAutospacing="1"/>
              <w:jc w:val="right"/>
            </w:pPr>
            <w:r>
              <w:rPr>
                <w:color w:val="000000"/>
              </w:rPr>
              <w:t>0</w:t>
            </w:r>
          </w:p>
        </w:tc>
      </w:tr>
    </w:tbl>
    <w:p w14:paraId="69498461" w14:textId="67340FEC" w:rsidR="004E7119" w:rsidRDefault="002A3363">
      <w:pPr>
        <w:pStyle w:val="Caption"/>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sidR="00A85082">
        <w:rPr>
          <w:rFonts w:asciiTheme="minorHAnsi" w:hAnsiTheme="minorHAnsi"/>
          <w:noProof/>
        </w:rPr>
        <w:t>8</w:t>
      </w:r>
      <w:r>
        <w:rPr>
          <w:rFonts w:asciiTheme="minorHAnsi" w:hAnsiTheme="minorHAnsi"/>
        </w:rPr>
        <w:fldChar w:fldCharType="end"/>
      </w:r>
      <w:r>
        <w:rPr>
          <w:rFonts w:asciiTheme="minorHAnsi" w:hAnsiTheme="minorHAnsi"/>
        </w:rPr>
        <w:t xml:space="preserve"> - Minority Business and Women Business Enterprises</w:t>
      </w:r>
    </w:p>
    <w:p w14:paraId="446875CC" w14:textId="77777777" w:rsidR="004E7119" w:rsidRDefault="004E7119">
      <w:pPr>
        <w:widowControl w:val="0"/>
        <w:spacing w:after="0" w:line="240" w:lineRule="auto"/>
        <w:rPr>
          <w:b/>
          <w:sz w:val="24"/>
          <w:szCs w:val="24"/>
        </w:r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4E7119" w14:paraId="0CBC46C1" w14:textId="77777777">
        <w:tc>
          <w:tcPr>
            <w:tcW w:w="9576" w:type="dxa"/>
          </w:tcPr>
          <w:p w14:paraId="767BF6E9" w14:textId="77777777" w:rsidR="004E7119" w:rsidRDefault="002A3363">
            <w:pPr>
              <w:keepNext/>
              <w:widowControl w:val="0"/>
              <w:spacing w:after="0" w:line="240" w:lineRule="auto"/>
              <w:rPr>
                <w:b/>
                <w:szCs w:val="24"/>
              </w:rPr>
            </w:pPr>
            <w:r>
              <w:rPr>
                <w:b/>
              </w:rPr>
              <w:t xml:space="preserve">Minority Owners of Rental Property </w:t>
            </w:r>
            <w:r>
              <w:t>– Indicate the number of HOME assisted rental property owners and the total amount of HOME funds in these rental properties assisted</w:t>
            </w:r>
          </w:p>
        </w:tc>
      </w:tr>
    </w:tbl>
    <w:p w14:paraId="2DF30234" w14:textId="77777777" w:rsidR="004E7119" w:rsidRDefault="004E7119">
      <w:pPr>
        <w:keepNext/>
        <w:widowControl w:val="0"/>
        <w:spacing w:after="0" w:line="240" w:lineRule="auto"/>
        <w:rPr>
          <w:b/>
          <w:vanish/>
          <w:sz w:val="24"/>
          <w:szCs w:val="24"/>
        </w:r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374"/>
        <w:gridCol w:w="793"/>
        <w:gridCol w:w="1486"/>
        <w:gridCol w:w="1398"/>
        <w:gridCol w:w="1433"/>
        <w:gridCol w:w="1433"/>
        <w:gridCol w:w="1433"/>
      </w:tblGrid>
      <w:tr w:rsidR="004E7119" w14:paraId="7C44B417" w14:textId="77777777">
        <w:tc>
          <w:tcPr>
            <w:tcW w:w="1408" w:type="dxa"/>
            <w:vMerge w:val="restart"/>
          </w:tcPr>
          <w:p w14:paraId="5EA83F2F" w14:textId="77777777" w:rsidR="004E7119" w:rsidRDefault="004E7119">
            <w:pPr>
              <w:keepNext/>
              <w:widowControl w:val="0"/>
              <w:spacing w:after="0" w:line="240" w:lineRule="auto"/>
              <w:jc w:val="center"/>
              <w:rPr>
                <w:b/>
              </w:rPr>
            </w:pPr>
          </w:p>
        </w:tc>
        <w:tc>
          <w:tcPr>
            <w:tcW w:w="809" w:type="dxa"/>
            <w:vMerge w:val="restart"/>
          </w:tcPr>
          <w:p w14:paraId="778CD40C" w14:textId="77777777" w:rsidR="004E7119" w:rsidRDefault="002A3363">
            <w:pPr>
              <w:keepNext/>
              <w:widowControl w:val="0"/>
              <w:spacing w:after="0" w:line="240" w:lineRule="auto"/>
              <w:jc w:val="center"/>
              <w:rPr>
                <w:b/>
              </w:rPr>
            </w:pPr>
            <w:r>
              <w:rPr>
                <w:b/>
              </w:rPr>
              <w:t>Total</w:t>
            </w:r>
          </w:p>
        </w:tc>
        <w:tc>
          <w:tcPr>
            <w:tcW w:w="5891" w:type="dxa"/>
            <w:gridSpan w:val="4"/>
          </w:tcPr>
          <w:p w14:paraId="70AFD8BA" w14:textId="77777777" w:rsidR="004E7119" w:rsidRDefault="002A3363">
            <w:pPr>
              <w:keepNext/>
              <w:widowControl w:val="0"/>
              <w:spacing w:after="0" w:line="240" w:lineRule="auto"/>
              <w:jc w:val="center"/>
              <w:rPr>
                <w:b/>
              </w:rPr>
            </w:pPr>
            <w:r>
              <w:rPr>
                <w:b/>
              </w:rPr>
              <w:t>Minority Property Owners</w:t>
            </w:r>
          </w:p>
        </w:tc>
        <w:tc>
          <w:tcPr>
            <w:tcW w:w="1468" w:type="dxa"/>
            <w:vMerge w:val="restart"/>
          </w:tcPr>
          <w:p w14:paraId="251A47E4" w14:textId="77777777" w:rsidR="004E7119" w:rsidRDefault="002A3363">
            <w:pPr>
              <w:keepNext/>
              <w:widowControl w:val="0"/>
              <w:spacing w:after="0" w:line="240" w:lineRule="auto"/>
              <w:jc w:val="center"/>
              <w:rPr>
                <w:b/>
              </w:rPr>
            </w:pPr>
            <w:r>
              <w:rPr>
                <w:b/>
              </w:rPr>
              <w:t>White Non-Hispanic</w:t>
            </w:r>
          </w:p>
        </w:tc>
      </w:tr>
      <w:tr w:rsidR="004E7119" w14:paraId="3D35A632" w14:textId="77777777">
        <w:tc>
          <w:tcPr>
            <w:tcW w:w="1408" w:type="dxa"/>
            <w:vMerge/>
          </w:tcPr>
          <w:p w14:paraId="72BDD462" w14:textId="77777777" w:rsidR="004E7119" w:rsidRDefault="004E7119">
            <w:pPr>
              <w:keepNext/>
              <w:widowControl w:val="0"/>
              <w:spacing w:after="0" w:line="240" w:lineRule="auto"/>
              <w:jc w:val="center"/>
              <w:rPr>
                <w:b/>
              </w:rPr>
            </w:pPr>
          </w:p>
        </w:tc>
        <w:tc>
          <w:tcPr>
            <w:tcW w:w="809" w:type="dxa"/>
            <w:vMerge/>
          </w:tcPr>
          <w:p w14:paraId="7789A185" w14:textId="77777777" w:rsidR="004E7119" w:rsidRDefault="004E7119">
            <w:pPr>
              <w:keepNext/>
              <w:widowControl w:val="0"/>
              <w:spacing w:after="0" w:line="240" w:lineRule="auto"/>
              <w:jc w:val="center"/>
              <w:rPr>
                <w:b/>
              </w:rPr>
            </w:pPr>
          </w:p>
        </w:tc>
        <w:tc>
          <w:tcPr>
            <w:tcW w:w="1523" w:type="dxa"/>
          </w:tcPr>
          <w:p w14:paraId="76065723" w14:textId="77777777" w:rsidR="004E7119" w:rsidRDefault="002A3363">
            <w:pPr>
              <w:keepNext/>
              <w:widowControl w:val="0"/>
              <w:jc w:val="center"/>
              <w:rPr>
                <w:b/>
              </w:rPr>
            </w:pPr>
            <w:r>
              <w:rPr>
                <w:b/>
              </w:rPr>
              <w:t>Alaskan Native or American Indian</w:t>
            </w:r>
          </w:p>
        </w:tc>
        <w:tc>
          <w:tcPr>
            <w:tcW w:w="1432" w:type="dxa"/>
          </w:tcPr>
          <w:p w14:paraId="6C49C23D" w14:textId="77777777" w:rsidR="004E7119" w:rsidRDefault="002A3363">
            <w:pPr>
              <w:keepNext/>
              <w:widowControl w:val="0"/>
              <w:ind w:right="-28"/>
              <w:jc w:val="center"/>
              <w:rPr>
                <w:b/>
              </w:rPr>
            </w:pPr>
            <w:r>
              <w:rPr>
                <w:b/>
              </w:rPr>
              <w:t>Asian or Pacific Islander</w:t>
            </w:r>
          </w:p>
        </w:tc>
        <w:tc>
          <w:tcPr>
            <w:tcW w:w="1468" w:type="dxa"/>
          </w:tcPr>
          <w:p w14:paraId="64AD86FC" w14:textId="77777777" w:rsidR="004E7119" w:rsidRDefault="002A3363">
            <w:pPr>
              <w:keepNext/>
              <w:widowControl w:val="0"/>
              <w:jc w:val="center"/>
              <w:rPr>
                <w:b/>
              </w:rPr>
            </w:pPr>
            <w:r>
              <w:rPr>
                <w:b/>
              </w:rPr>
              <w:t>Black Non-Hispanic</w:t>
            </w:r>
          </w:p>
        </w:tc>
        <w:tc>
          <w:tcPr>
            <w:tcW w:w="1468" w:type="dxa"/>
          </w:tcPr>
          <w:p w14:paraId="70204FE1" w14:textId="77777777" w:rsidR="004E7119" w:rsidRDefault="002A3363">
            <w:pPr>
              <w:keepNext/>
              <w:widowControl w:val="0"/>
              <w:jc w:val="center"/>
              <w:rPr>
                <w:b/>
              </w:rPr>
            </w:pPr>
            <w:r>
              <w:rPr>
                <w:b/>
              </w:rPr>
              <w:t>Hispanic</w:t>
            </w:r>
          </w:p>
        </w:tc>
        <w:tc>
          <w:tcPr>
            <w:tcW w:w="1468" w:type="dxa"/>
            <w:vMerge/>
          </w:tcPr>
          <w:p w14:paraId="22A55EE1" w14:textId="77777777" w:rsidR="004E7119" w:rsidRDefault="004E7119">
            <w:pPr>
              <w:keepNext/>
              <w:widowControl w:val="0"/>
              <w:spacing w:after="0" w:line="240" w:lineRule="auto"/>
              <w:jc w:val="center"/>
              <w:rPr>
                <w:b/>
              </w:rPr>
            </w:pPr>
          </w:p>
        </w:tc>
      </w:tr>
      <w:tr w:rsidR="004E7119" w14:paraId="69FBD767" w14:textId="77777777">
        <w:trPr>
          <w:cantSplit/>
        </w:trPr>
        <w:tc>
          <w:tcPr>
            <w:tcW w:w="1411" w:type="dxa"/>
          </w:tcPr>
          <w:p w14:paraId="4E359871" w14:textId="77777777" w:rsidR="004E7119" w:rsidRDefault="002A3363">
            <w:pPr>
              <w:spacing w:beforeAutospacing="1" w:afterAutospacing="1"/>
            </w:pPr>
            <w:r>
              <w:rPr>
                <w:color w:val="000000"/>
              </w:rPr>
              <w:t>Number</w:t>
            </w:r>
          </w:p>
        </w:tc>
        <w:tc>
          <w:tcPr>
            <w:tcW w:w="810" w:type="dxa"/>
            <w:vAlign w:val="bottom"/>
          </w:tcPr>
          <w:p w14:paraId="7925FD71" w14:textId="77777777" w:rsidR="004E7119" w:rsidRDefault="002A3363">
            <w:pPr>
              <w:spacing w:beforeAutospacing="1" w:afterAutospacing="1"/>
              <w:jc w:val="right"/>
            </w:pPr>
            <w:r>
              <w:rPr>
                <w:color w:val="000000"/>
              </w:rPr>
              <w:t>0</w:t>
            </w:r>
          </w:p>
        </w:tc>
        <w:tc>
          <w:tcPr>
            <w:tcW w:w="1525" w:type="dxa"/>
            <w:vAlign w:val="bottom"/>
          </w:tcPr>
          <w:p w14:paraId="4178C273" w14:textId="77777777" w:rsidR="004E7119" w:rsidRDefault="002A3363">
            <w:pPr>
              <w:spacing w:beforeAutospacing="1" w:afterAutospacing="1"/>
              <w:jc w:val="right"/>
            </w:pPr>
            <w:r>
              <w:rPr>
                <w:color w:val="000000"/>
              </w:rPr>
              <w:t>0</w:t>
            </w:r>
          </w:p>
        </w:tc>
        <w:tc>
          <w:tcPr>
            <w:tcW w:w="1434" w:type="dxa"/>
            <w:vAlign w:val="bottom"/>
          </w:tcPr>
          <w:p w14:paraId="50C88CEB" w14:textId="77777777" w:rsidR="004E7119" w:rsidRDefault="002A3363">
            <w:pPr>
              <w:spacing w:beforeAutospacing="1" w:afterAutospacing="1"/>
              <w:jc w:val="right"/>
            </w:pPr>
            <w:r>
              <w:rPr>
                <w:color w:val="000000"/>
              </w:rPr>
              <w:t>0</w:t>
            </w:r>
          </w:p>
        </w:tc>
        <w:tc>
          <w:tcPr>
            <w:tcW w:w="1470" w:type="dxa"/>
            <w:vAlign w:val="bottom"/>
          </w:tcPr>
          <w:p w14:paraId="38D2F6BA" w14:textId="77777777" w:rsidR="004E7119" w:rsidRDefault="002A3363">
            <w:pPr>
              <w:spacing w:beforeAutospacing="1" w:afterAutospacing="1"/>
              <w:jc w:val="right"/>
            </w:pPr>
            <w:r>
              <w:rPr>
                <w:color w:val="000000"/>
              </w:rPr>
              <w:t>0</w:t>
            </w:r>
          </w:p>
        </w:tc>
        <w:tc>
          <w:tcPr>
            <w:tcW w:w="1470" w:type="dxa"/>
            <w:vAlign w:val="bottom"/>
          </w:tcPr>
          <w:p w14:paraId="105011DE" w14:textId="77777777" w:rsidR="004E7119" w:rsidRDefault="002A3363">
            <w:pPr>
              <w:spacing w:beforeAutospacing="1" w:afterAutospacing="1"/>
              <w:jc w:val="right"/>
            </w:pPr>
            <w:r>
              <w:rPr>
                <w:color w:val="000000"/>
              </w:rPr>
              <w:t>0</w:t>
            </w:r>
          </w:p>
        </w:tc>
        <w:tc>
          <w:tcPr>
            <w:tcW w:w="1470" w:type="dxa"/>
            <w:vAlign w:val="bottom"/>
          </w:tcPr>
          <w:p w14:paraId="6ACA3262" w14:textId="77777777" w:rsidR="004E7119" w:rsidRDefault="002A3363">
            <w:pPr>
              <w:spacing w:beforeAutospacing="1" w:afterAutospacing="1"/>
              <w:jc w:val="right"/>
            </w:pPr>
            <w:r>
              <w:rPr>
                <w:color w:val="000000"/>
              </w:rPr>
              <w:t>0</w:t>
            </w:r>
          </w:p>
        </w:tc>
      </w:tr>
      <w:tr w:rsidR="004E7119" w14:paraId="10120830" w14:textId="77777777">
        <w:trPr>
          <w:cantSplit/>
        </w:trPr>
        <w:tc>
          <w:tcPr>
            <w:tcW w:w="1411" w:type="dxa"/>
          </w:tcPr>
          <w:p w14:paraId="7D8389B8" w14:textId="77777777" w:rsidR="004E7119" w:rsidRDefault="002A3363">
            <w:pPr>
              <w:spacing w:beforeAutospacing="1" w:afterAutospacing="1"/>
            </w:pPr>
            <w:r>
              <w:rPr>
                <w:color w:val="000000"/>
              </w:rPr>
              <w:t>Dollar Amount</w:t>
            </w:r>
          </w:p>
        </w:tc>
        <w:tc>
          <w:tcPr>
            <w:tcW w:w="810" w:type="dxa"/>
            <w:vAlign w:val="bottom"/>
          </w:tcPr>
          <w:p w14:paraId="3A4748FC" w14:textId="77777777" w:rsidR="004E7119" w:rsidRDefault="002A3363">
            <w:pPr>
              <w:spacing w:beforeAutospacing="1" w:afterAutospacing="1"/>
              <w:jc w:val="right"/>
            </w:pPr>
            <w:r>
              <w:rPr>
                <w:color w:val="000000"/>
              </w:rPr>
              <w:t>0</w:t>
            </w:r>
          </w:p>
        </w:tc>
        <w:tc>
          <w:tcPr>
            <w:tcW w:w="1525" w:type="dxa"/>
            <w:vAlign w:val="bottom"/>
          </w:tcPr>
          <w:p w14:paraId="5BC7D02D" w14:textId="77777777" w:rsidR="004E7119" w:rsidRDefault="002A3363">
            <w:pPr>
              <w:spacing w:beforeAutospacing="1" w:afterAutospacing="1"/>
              <w:jc w:val="right"/>
            </w:pPr>
            <w:r>
              <w:rPr>
                <w:color w:val="000000"/>
              </w:rPr>
              <w:t>0</w:t>
            </w:r>
          </w:p>
        </w:tc>
        <w:tc>
          <w:tcPr>
            <w:tcW w:w="1434" w:type="dxa"/>
            <w:vAlign w:val="bottom"/>
          </w:tcPr>
          <w:p w14:paraId="1B8A2604" w14:textId="77777777" w:rsidR="004E7119" w:rsidRDefault="002A3363">
            <w:pPr>
              <w:spacing w:beforeAutospacing="1" w:afterAutospacing="1"/>
              <w:jc w:val="right"/>
            </w:pPr>
            <w:r>
              <w:rPr>
                <w:color w:val="000000"/>
              </w:rPr>
              <w:t>0</w:t>
            </w:r>
          </w:p>
        </w:tc>
        <w:tc>
          <w:tcPr>
            <w:tcW w:w="1470" w:type="dxa"/>
            <w:vAlign w:val="bottom"/>
          </w:tcPr>
          <w:p w14:paraId="1DE12EDD" w14:textId="77777777" w:rsidR="004E7119" w:rsidRDefault="002A3363">
            <w:pPr>
              <w:spacing w:beforeAutospacing="1" w:afterAutospacing="1"/>
              <w:jc w:val="right"/>
            </w:pPr>
            <w:r>
              <w:rPr>
                <w:color w:val="000000"/>
              </w:rPr>
              <w:t>0</w:t>
            </w:r>
          </w:p>
        </w:tc>
        <w:tc>
          <w:tcPr>
            <w:tcW w:w="1470" w:type="dxa"/>
            <w:vAlign w:val="bottom"/>
          </w:tcPr>
          <w:p w14:paraId="62CF8BBB" w14:textId="77777777" w:rsidR="004E7119" w:rsidRDefault="002A3363">
            <w:pPr>
              <w:spacing w:beforeAutospacing="1" w:afterAutospacing="1"/>
              <w:jc w:val="right"/>
            </w:pPr>
            <w:r>
              <w:rPr>
                <w:color w:val="000000"/>
              </w:rPr>
              <w:t>0</w:t>
            </w:r>
          </w:p>
        </w:tc>
        <w:tc>
          <w:tcPr>
            <w:tcW w:w="1470" w:type="dxa"/>
            <w:vAlign w:val="bottom"/>
          </w:tcPr>
          <w:p w14:paraId="4F306EA8" w14:textId="77777777" w:rsidR="004E7119" w:rsidRDefault="002A3363">
            <w:pPr>
              <w:spacing w:beforeAutospacing="1" w:afterAutospacing="1"/>
              <w:jc w:val="right"/>
            </w:pPr>
            <w:r>
              <w:rPr>
                <w:color w:val="000000"/>
              </w:rPr>
              <w:t>0</w:t>
            </w:r>
          </w:p>
        </w:tc>
      </w:tr>
    </w:tbl>
    <w:p w14:paraId="1ED0D528" w14:textId="21F90420" w:rsidR="004E7119" w:rsidRDefault="002A3363">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sidR="00A85082">
        <w:rPr>
          <w:rFonts w:asciiTheme="minorHAnsi" w:hAnsiTheme="minorHAnsi"/>
          <w:noProof/>
        </w:rPr>
        <w:t>9</w:t>
      </w:r>
      <w:r>
        <w:rPr>
          <w:rFonts w:asciiTheme="minorHAnsi" w:hAnsiTheme="minorHAnsi"/>
        </w:rPr>
        <w:fldChar w:fldCharType="end"/>
      </w:r>
      <w:r>
        <w:rPr>
          <w:rFonts w:asciiTheme="minorHAnsi" w:hAnsiTheme="minorHAnsi"/>
        </w:rPr>
        <w:t xml:space="preserve"> – Minority Owners of Rental Property</w:t>
      </w:r>
    </w:p>
    <w:p w14:paraId="4C8E3074" w14:textId="77777777" w:rsidR="004E7119" w:rsidRDefault="004E7119">
      <w:pPr>
        <w:widowControl w:val="0"/>
        <w:spacing w:line="204" w:lineRule="auto"/>
        <w:rPr>
          <w:b/>
          <w:sz w:val="24"/>
          <w:szCs w:val="24"/>
        </w:r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4E7119" w14:paraId="58008279" w14:textId="77777777">
        <w:tc>
          <w:tcPr>
            <w:tcW w:w="13176" w:type="dxa"/>
          </w:tcPr>
          <w:p w14:paraId="05E5B294" w14:textId="77777777" w:rsidR="004E7119" w:rsidRDefault="002A3363">
            <w:pPr>
              <w:keepNext/>
              <w:widowControl w:val="0"/>
              <w:spacing w:after="0" w:line="240" w:lineRule="auto"/>
              <w:rPr>
                <w:b/>
              </w:rPr>
            </w:pPr>
            <w:r>
              <w:rPr>
                <w:b/>
              </w:rPr>
              <w:lastRenderedPageBreak/>
              <w:t xml:space="preserve">Relocation and Real Property Acquisition – </w:t>
            </w:r>
            <w:r>
              <w:t>Indicate the number of persons displaced, the cost of relocation payments, the number of parcels acquired, and the cost of acquisition</w:t>
            </w:r>
          </w:p>
        </w:tc>
      </w:tr>
    </w:tbl>
    <w:p w14:paraId="269A4A54" w14:textId="77777777" w:rsidR="004E7119" w:rsidRDefault="004E7119">
      <w:pPr>
        <w:keepNext/>
        <w:widowControl w:val="0"/>
        <w:spacing w:after="0" w:line="240" w:lineRule="auto"/>
        <w:rPr>
          <w:b/>
          <w:vanish/>
          <w:sz w:val="24"/>
          <w:szCs w:val="24"/>
        </w:rPr>
      </w:pPr>
    </w:p>
    <w:tbl>
      <w:tblPr>
        <w:tblW w:w="3423"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081"/>
        <w:gridCol w:w="1660"/>
        <w:gridCol w:w="1660"/>
      </w:tblGrid>
      <w:tr w:rsidR="004E7119" w14:paraId="0785D15A" w14:textId="77777777">
        <w:trPr>
          <w:cantSplit/>
          <w:hidden/>
        </w:trPr>
        <w:tc>
          <w:tcPr>
            <w:tcW w:w="4392" w:type="dxa"/>
          </w:tcPr>
          <w:p w14:paraId="0822415A" w14:textId="77777777" w:rsidR="004E7119" w:rsidRDefault="004E7119">
            <w:pPr>
              <w:keepNext/>
              <w:widowControl w:val="0"/>
              <w:spacing w:after="0" w:line="240" w:lineRule="auto"/>
              <w:rPr>
                <w:b/>
                <w:vanish/>
              </w:rPr>
            </w:pPr>
          </w:p>
        </w:tc>
        <w:tc>
          <w:tcPr>
            <w:tcW w:w="2314" w:type="dxa"/>
          </w:tcPr>
          <w:p w14:paraId="2531BC17" w14:textId="77777777" w:rsidR="004E7119" w:rsidRDefault="002A3363">
            <w:pPr>
              <w:keepNext/>
              <w:widowControl w:val="0"/>
              <w:spacing w:after="0" w:line="240" w:lineRule="auto"/>
              <w:jc w:val="center"/>
              <w:rPr>
                <w:b/>
                <w:vanish/>
              </w:rPr>
            </w:pPr>
            <w:r>
              <w:rPr>
                <w:b/>
                <w:vanish/>
              </w:rPr>
              <w:t>Number</w:t>
            </w:r>
          </w:p>
        </w:tc>
        <w:tc>
          <w:tcPr>
            <w:tcW w:w="2314" w:type="dxa"/>
          </w:tcPr>
          <w:p w14:paraId="00098026" w14:textId="77777777" w:rsidR="004E7119" w:rsidRDefault="002A3363">
            <w:pPr>
              <w:keepNext/>
              <w:widowControl w:val="0"/>
              <w:spacing w:after="0" w:line="240" w:lineRule="auto"/>
              <w:jc w:val="center"/>
              <w:rPr>
                <w:b/>
                <w:vanish/>
              </w:rPr>
            </w:pPr>
            <w:r>
              <w:rPr>
                <w:b/>
                <w:vanish/>
              </w:rPr>
              <w:t>Cost</w:t>
            </w:r>
          </w:p>
        </w:tc>
      </w:tr>
      <w:tr w:rsidR="004E7119" w14:paraId="4F64D902" w14:textId="77777777">
        <w:trPr>
          <w:cantSplit/>
        </w:trPr>
        <w:tc>
          <w:tcPr>
            <w:tcW w:w="3163" w:type="dxa"/>
          </w:tcPr>
          <w:p w14:paraId="33BD2F3B" w14:textId="77777777" w:rsidR="004E7119" w:rsidRDefault="002A3363">
            <w:pPr>
              <w:spacing w:beforeAutospacing="1" w:afterAutospacing="1"/>
            </w:pPr>
            <w:r>
              <w:rPr>
                <w:color w:val="000000"/>
              </w:rPr>
              <w:t>Parcels Acquired</w:t>
            </w:r>
          </w:p>
        </w:tc>
        <w:tc>
          <w:tcPr>
            <w:tcW w:w="1701" w:type="dxa"/>
            <w:vAlign w:val="bottom"/>
          </w:tcPr>
          <w:p w14:paraId="7BC9C124" w14:textId="77777777" w:rsidR="004E7119" w:rsidRDefault="002A3363">
            <w:pPr>
              <w:spacing w:beforeAutospacing="1" w:afterAutospacing="1"/>
              <w:jc w:val="right"/>
            </w:pPr>
            <w:r>
              <w:rPr>
                <w:color w:val="000000"/>
              </w:rPr>
              <w:t>0</w:t>
            </w:r>
          </w:p>
        </w:tc>
        <w:tc>
          <w:tcPr>
            <w:tcW w:w="1701" w:type="dxa"/>
            <w:vAlign w:val="bottom"/>
          </w:tcPr>
          <w:p w14:paraId="0603807C" w14:textId="77777777" w:rsidR="004E7119" w:rsidRDefault="002A3363">
            <w:pPr>
              <w:spacing w:beforeAutospacing="1" w:afterAutospacing="1"/>
              <w:jc w:val="right"/>
            </w:pPr>
            <w:r>
              <w:rPr>
                <w:color w:val="000000"/>
              </w:rPr>
              <w:t>0</w:t>
            </w:r>
          </w:p>
        </w:tc>
      </w:tr>
      <w:tr w:rsidR="004E7119" w14:paraId="1445E326" w14:textId="77777777">
        <w:trPr>
          <w:cantSplit/>
        </w:trPr>
        <w:tc>
          <w:tcPr>
            <w:tcW w:w="3163" w:type="dxa"/>
          </w:tcPr>
          <w:p w14:paraId="6AE5F1E6" w14:textId="77777777" w:rsidR="004E7119" w:rsidRDefault="002A3363">
            <w:pPr>
              <w:spacing w:beforeAutospacing="1" w:afterAutospacing="1"/>
            </w:pPr>
            <w:r>
              <w:rPr>
                <w:color w:val="000000"/>
              </w:rPr>
              <w:t>Businesses Displaced</w:t>
            </w:r>
          </w:p>
        </w:tc>
        <w:tc>
          <w:tcPr>
            <w:tcW w:w="1701" w:type="dxa"/>
            <w:vAlign w:val="bottom"/>
          </w:tcPr>
          <w:p w14:paraId="127DEC09" w14:textId="77777777" w:rsidR="004E7119" w:rsidRDefault="002A3363">
            <w:pPr>
              <w:spacing w:beforeAutospacing="1" w:afterAutospacing="1"/>
              <w:jc w:val="right"/>
            </w:pPr>
            <w:r>
              <w:rPr>
                <w:color w:val="000000"/>
              </w:rPr>
              <w:t>0</w:t>
            </w:r>
          </w:p>
        </w:tc>
        <w:tc>
          <w:tcPr>
            <w:tcW w:w="1701" w:type="dxa"/>
            <w:vAlign w:val="bottom"/>
          </w:tcPr>
          <w:p w14:paraId="03D4C2E8" w14:textId="77777777" w:rsidR="004E7119" w:rsidRDefault="002A3363">
            <w:pPr>
              <w:spacing w:beforeAutospacing="1" w:afterAutospacing="1"/>
              <w:jc w:val="right"/>
            </w:pPr>
            <w:r>
              <w:rPr>
                <w:color w:val="000000"/>
              </w:rPr>
              <w:t>0</w:t>
            </w:r>
          </w:p>
        </w:tc>
      </w:tr>
      <w:tr w:rsidR="004E7119" w14:paraId="0E6FAF21" w14:textId="77777777">
        <w:trPr>
          <w:cantSplit/>
        </w:trPr>
        <w:tc>
          <w:tcPr>
            <w:tcW w:w="3163" w:type="dxa"/>
          </w:tcPr>
          <w:p w14:paraId="5827EA5E" w14:textId="77777777" w:rsidR="004E7119" w:rsidRDefault="002A3363">
            <w:pPr>
              <w:spacing w:beforeAutospacing="1" w:afterAutospacing="1"/>
            </w:pPr>
            <w:r>
              <w:rPr>
                <w:color w:val="000000"/>
              </w:rPr>
              <w:t>Nonprofit Organizations Displaced</w:t>
            </w:r>
          </w:p>
        </w:tc>
        <w:tc>
          <w:tcPr>
            <w:tcW w:w="1701" w:type="dxa"/>
            <w:vAlign w:val="bottom"/>
          </w:tcPr>
          <w:p w14:paraId="0E56EF85" w14:textId="77777777" w:rsidR="004E7119" w:rsidRDefault="002A3363">
            <w:pPr>
              <w:spacing w:beforeAutospacing="1" w:afterAutospacing="1"/>
              <w:jc w:val="right"/>
            </w:pPr>
            <w:r>
              <w:rPr>
                <w:color w:val="000000"/>
              </w:rPr>
              <w:t>0</w:t>
            </w:r>
          </w:p>
        </w:tc>
        <w:tc>
          <w:tcPr>
            <w:tcW w:w="1701" w:type="dxa"/>
            <w:vAlign w:val="bottom"/>
          </w:tcPr>
          <w:p w14:paraId="382F6CDA" w14:textId="77777777" w:rsidR="004E7119" w:rsidRDefault="002A3363">
            <w:pPr>
              <w:spacing w:beforeAutospacing="1" w:afterAutospacing="1"/>
              <w:jc w:val="right"/>
            </w:pPr>
            <w:r>
              <w:rPr>
                <w:color w:val="000000"/>
              </w:rPr>
              <w:t>0</w:t>
            </w:r>
          </w:p>
        </w:tc>
      </w:tr>
      <w:tr w:rsidR="004E7119" w14:paraId="2DB834AC" w14:textId="77777777">
        <w:trPr>
          <w:cantSplit/>
        </w:trPr>
        <w:tc>
          <w:tcPr>
            <w:tcW w:w="3163" w:type="dxa"/>
          </w:tcPr>
          <w:p w14:paraId="6D9E46D9" w14:textId="77777777" w:rsidR="004E7119" w:rsidRDefault="002A3363">
            <w:pPr>
              <w:spacing w:beforeAutospacing="1" w:afterAutospacing="1"/>
            </w:pPr>
            <w:r>
              <w:rPr>
                <w:color w:val="000000"/>
              </w:rPr>
              <w:t>Households Temporarily Relocated, not Displaced</w:t>
            </w:r>
          </w:p>
        </w:tc>
        <w:tc>
          <w:tcPr>
            <w:tcW w:w="1701" w:type="dxa"/>
            <w:vAlign w:val="bottom"/>
          </w:tcPr>
          <w:p w14:paraId="6C10E612" w14:textId="77777777" w:rsidR="004E7119" w:rsidRDefault="002A3363">
            <w:pPr>
              <w:spacing w:beforeAutospacing="1" w:afterAutospacing="1"/>
              <w:jc w:val="right"/>
            </w:pPr>
            <w:r>
              <w:rPr>
                <w:color w:val="000000"/>
              </w:rPr>
              <w:t>0</w:t>
            </w:r>
          </w:p>
        </w:tc>
        <w:tc>
          <w:tcPr>
            <w:tcW w:w="1701" w:type="dxa"/>
            <w:vAlign w:val="bottom"/>
          </w:tcPr>
          <w:p w14:paraId="5F572877" w14:textId="77777777" w:rsidR="004E7119" w:rsidRDefault="002A3363">
            <w:pPr>
              <w:spacing w:beforeAutospacing="1" w:afterAutospacing="1"/>
              <w:jc w:val="right"/>
            </w:pPr>
            <w:r>
              <w:rPr>
                <w:color w:val="000000"/>
              </w:rPr>
              <w:t>0</w:t>
            </w:r>
          </w:p>
        </w:tc>
      </w:tr>
    </w:tbl>
    <w:p w14:paraId="0EC9835A" w14:textId="77777777" w:rsidR="004E7119" w:rsidRDefault="004E7119">
      <w:pPr>
        <w:widowControl w:val="0"/>
        <w:spacing w:after="0" w:line="240" w:lineRule="auto"/>
        <w:rPr>
          <w:b/>
          <w:vanish/>
          <w:sz w:val="24"/>
          <w:szCs w:val="24"/>
        </w:r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533"/>
        <w:gridCol w:w="784"/>
        <w:gridCol w:w="1459"/>
        <w:gridCol w:w="1366"/>
        <w:gridCol w:w="1403"/>
        <w:gridCol w:w="1402"/>
        <w:gridCol w:w="1403"/>
      </w:tblGrid>
      <w:tr w:rsidR="004E7119" w14:paraId="6153E3EE" w14:textId="77777777">
        <w:trPr>
          <w:cantSplit/>
        </w:trPr>
        <w:tc>
          <w:tcPr>
            <w:tcW w:w="1572" w:type="dxa"/>
            <w:vMerge w:val="restart"/>
          </w:tcPr>
          <w:p w14:paraId="63C0D781" w14:textId="77777777" w:rsidR="004E7119" w:rsidRDefault="002A3363">
            <w:pPr>
              <w:keepNext/>
              <w:widowControl w:val="0"/>
              <w:spacing w:after="0" w:line="240" w:lineRule="auto"/>
              <w:jc w:val="center"/>
              <w:rPr>
                <w:b/>
              </w:rPr>
            </w:pPr>
            <w:r>
              <w:rPr>
                <w:b/>
              </w:rPr>
              <w:t>Households Displaced</w:t>
            </w:r>
          </w:p>
        </w:tc>
        <w:tc>
          <w:tcPr>
            <w:tcW w:w="800" w:type="dxa"/>
            <w:vMerge w:val="restart"/>
          </w:tcPr>
          <w:p w14:paraId="78185876" w14:textId="77777777" w:rsidR="004E7119" w:rsidRDefault="002A3363">
            <w:pPr>
              <w:keepNext/>
              <w:widowControl w:val="0"/>
              <w:spacing w:after="0" w:line="240" w:lineRule="auto"/>
              <w:jc w:val="center"/>
              <w:rPr>
                <w:b/>
              </w:rPr>
            </w:pPr>
            <w:r>
              <w:rPr>
                <w:b/>
              </w:rPr>
              <w:t>Total</w:t>
            </w:r>
          </w:p>
        </w:tc>
        <w:tc>
          <w:tcPr>
            <w:tcW w:w="5767" w:type="dxa"/>
            <w:gridSpan w:val="4"/>
          </w:tcPr>
          <w:p w14:paraId="59069696" w14:textId="77777777" w:rsidR="004E7119" w:rsidRDefault="002A3363">
            <w:pPr>
              <w:keepNext/>
              <w:widowControl w:val="0"/>
              <w:spacing w:after="0" w:line="240" w:lineRule="auto"/>
              <w:jc w:val="center"/>
              <w:rPr>
                <w:b/>
              </w:rPr>
            </w:pPr>
            <w:r>
              <w:rPr>
                <w:b/>
              </w:rPr>
              <w:t>Minority Property Enterprises</w:t>
            </w:r>
          </w:p>
        </w:tc>
        <w:tc>
          <w:tcPr>
            <w:tcW w:w="1437" w:type="dxa"/>
            <w:vMerge w:val="restart"/>
          </w:tcPr>
          <w:p w14:paraId="6CCBCBBC" w14:textId="77777777" w:rsidR="004E7119" w:rsidRDefault="002A3363">
            <w:pPr>
              <w:keepNext/>
              <w:widowControl w:val="0"/>
              <w:spacing w:after="0" w:line="240" w:lineRule="auto"/>
              <w:jc w:val="center"/>
              <w:rPr>
                <w:b/>
              </w:rPr>
            </w:pPr>
            <w:r>
              <w:rPr>
                <w:b/>
              </w:rPr>
              <w:t>White Non-Hispanic</w:t>
            </w:r>
          </w:p>
        </w:tc>
      </w:tr>
      <w:tr w:rsidR="004E7119" w14:paraId="39C4FA15" w14:textId="77777777">
        <w:trPr>
          <w:cantSplit/>
        </w:trPr>
        <w:tc>
          <w:tcPr>
            <w:tcW w:w="1572" w:type="dxa"/>
            <w:vMerge/>
          </w:tcPr>
          <w:p w14:paraId="6A5C0C62" w14:textId="77777777" w:rsidR="004E7119" w:rsidRDefault="004E7119">
            <w:pPr>
              <w:keepNext/>
              <w:widowControl w:val="0"/>
              <w:spacing w:after="0" w:line="240" w:lineRule="auto"/>
              <w:jc w:val="center"/>
              <w:rPr>
                <w:b/>
              </w:rPr>
            </w:pPr>
          </w:p>
        </w:tc>
        <w:tc>
          <w:tcPr>
            <w:tcW w:w="800" w:type="dxa"/>
            <w:vMerge/>
          </w:tcPr>
          <w:p w14:paraId="6853ED28" w14:textId="77777777" w:rsidR="004E7119" w:rsidRDefault="004E7119">
            <w:pPr>
              <w:keepNext/>
              <w:widowControl w:val="0"/>
              <w:spacing w:after="0" w:line="240" w:lineRule="auto"/>
              <w:jc w:val="center"/>
              <w:rPr>
                <w:b/>
              </w:rPr>
            </w:pPr>
          </w:p>
        </w:tc>
        <w:tc>
          <w:tcPr>
            <w:tcW w:w="1495" w:type="dxa"/>
          </w:tcPr>
          <w:p w14:paraId="76BE0466" w14:textId="77777777" w:rsidR="004E7119" w:rsidRDefault="002A3363">
            <w:pPr>
              <w:keepNext/>
              <w:widowControl w:val="0"/>
              <w:jc w:val="center"/>
              <w:rPr>
                <w:b/>
              </w:rPr>
            </w:pPr>
            <w:r>
              <w:rPr>
                <w:b/>
              </w:rPr>
              <w:t>Alaskan Native or American Indian</w:t>
            </w:r>
          </w:p>
        </w:tc>
        <w:tc>
          <w:tcPr>
            <w:tcW w:w="1399" w:type="dxa"/>
          </w:tcPr>
          <w:p w14:paraId="72BBBA55" w14:textId="77777777" w:rsidR="004E7119" w:rsidRDefault="002A3363">
            <w:pPr>
              <w:keepNext/>
              <w:widowControl w:val="0"/>
              <w:ind w:right="-28"/>
              <w:jc w:val="center"/>
              <w:rPr>
                <w:b/>
              </w:rPr>
            </w:pPr>
            <w:r>
              <w:rPr>
                <w:b/>
              </w:rPr>
              <w:t>Asian or Pacific Islander</w:t>
            </w:r>
          </w:p>
        </w:tc>
        <w:tc>
          <w:tcPr>
            <w:tcW w:w="1437" w:type="dxa"/>
          </w:tcPr>
          <w:p w14:paraId="26E843B2" w14:textId="77777777" w:rsidR="004E7119" w:rsidRDefault="002A3363">
            <w:pPr>
              <w:keepNext/>
              <w:widowControl w:val="0"/>
              <w:jc w:val="center"/>
              <w:rPr>
                <w:b/>
              </w:rPr>
            </w:pPr>
            <w:r>
              <w:rPr>
                <w:b/>
              </w:rPr>
              <w:t>Black Non-Hispanic</w:t>
            </w:r>
          </w:p>
        </w:tc>
        <w:tc>
          <w:tcPr>
            <w:tcW w:w="1436" w:type="dxa"/>
          </w:tcPr>
          <w:p w14:paraId="3779BE09" w14:textId="77777777" w:rsidR="004E7119" w:rsidRDefault="002A3363">
            <w:pPr>
              <w:keepNext/>
              <w:widowControl w:val="0"/>
              <w:jc w:val="center"/>
              <w:rPr>
                <w:b/>
              </w:rPr>
            </w:pPr>
            <w:r>
              <w:rPr>
                <w:b/>
              </w:rPr>
              <w:t>Hispanic</w:t>
            </w:r>
          </w:p>
        </w:tc>
        <w:tc>
          <w:tcPr>
            <w:tcW w:w="1437" w:type="dxa"/>
            <w:vMerge/>
          </w:tcPr>
          <w:p w14:paraId="547C25DA" w14:textId="77777777" w:rsidR="004E7119" w:rsidRDefault="004E7119">
            <w:pPr>
              <w:keepNext/>
              <w:widowControl w:val="0"/>
              <w:spacing w:after="0" w:line="240" w:lineRule="auto"/>
              <w:jc w:val="center"/>
              <w:rPr>
                <w:b/>
              </w:rPr>
            </w:pPr>
          </w:p>
        </w:tc>
      </w:tr>
      <w:tr w:rsidR="004E7119" w14:paraId="363A912B" w14:textId="77777777">
        <w:trPr>
          <w:cantSplit/>
        </w:trPr>
        <w:tc>
          <w:tcPr>
            <w:tcW w:w="1575" w:type="dxa"/>
          </w:tcPr>
          <w:p w14:paraId="54BAC1F5" w14:textId="77777777" w:rsidR="004E7119" w:rsidRDefault="002A3363">
            <w:pPr>
              <w:spacing w:beforeAutospacing="1" w:afterAutospacing="1"/>
            </w:pPr>
            <w:r>
              <w:rPr>
                <w:color w:val="000000"/>
              </w:rPr>
              <w:t>Number</w:t>
            </w:r>
          </w:p>
        </w:tc>
        <w:tc>
          <w:tcPr>
            <w:tcW w:w="801" w:type="dxa"/>
            <w:vAlign w:val="bottom"/>
          </w:tcPr>
          <w:p w14:paraId="1BAFB50A" w14:textId="77777777" w:rsidR="004E7119" w:rsidRDefault="002A3363">
            <w:pPr>
              <w:spacing w:beforeAutospacing="1" w:afterAutospacing="1"/>
              <w:jc w:val="right"/>
            </w:pPr>
            <w:r>
              <w:rPr>
                <w:color w:val="000000"/>
              </w:rPr>
              <w:t>0</w:t>
            </w:r>
          </w:p>
        </w:tc>
        <w:tc>
          <w:tcPr>
            <w:tcW w:w="1497" w:type="dxa"/>
            <w:vAlign w:val="bottom"/>
          </w:tcPr>
          <w:p w14:paraId="3EC0FCBA" w14:textId="77777777" w:rsidR="004E7119" w:rsidRDefault="002A3363">
            <w:pPr>
              <w:spacing w:beforeAutospacing="1" w:afterAutospacing="1"/>
              <w:jc w:val="right"/>
            </w:pPr>
            <w:r>
              <w:rPr>
                <w:color w:val="000000"/>
              </w:rPr>
              <w:t>0</w:t>
            </w:r>
          </w:p>
        </w:tc>
        <w:tc>
          <w:tcPr>
            <w:tcW w:w="1401" w:type="dxa"/>
            <w:vAlign w:val="bottom"/>
          </w:tcPr>
          <w:p w14:paraId="0CAC38FA" w14:textId="77777777" w:rsidR="004E7119" w:rsidRDefault="002A3363">
            <w:pPr>
              <w:spacing w:beforeAutospacing="1" w:afterAutospacing="1"/>
              <w:jc w:val="right"/>
            </w:pPr>
            <w:r>
              <w:rPr>
                <w:color w:val="000000"/>
              </w:rPr>
              <w:t>0</w:t>
            </w:r>
          </w:p>
        </w:tc>
        <w:tc>
          <w:tcPr>
            <w:tcW w:w="1439" w:type="dxa"/>
            <w:vAlign w:val="bottom"/>
          </w:tcPr>
          <w:p w14:paraId="46127449" w14:textId="77777777" w:rsidR="004E7119" w:rsidRDefault="002A3363">
            <w:pPr>
              <w:spacing w:beforeAutospacing="1" w:afterAutospacing="1"/>
              <w:jc w:val="right"/>
            </w:pPr>
            <w:r>
              <w:rPr>
                <w:color w:val="000000"/>
              </w:rPr>
              <w:t>0</w:t>
            </w:r>
          </w:p>
        </w:tc>
        <w:tc>
          <w:tcPr>
            <w:tcW w:w="1438" w:type="dxa"/>
            <w:vAlign w:val="bottom"/>
          </w:tcPr>
          <w:p w14:paraId="4D03E777" w14:textId="77777777" w:rsidR="004E7119" w:rsidRDefault="002A3363">
            <w:pPr>
              <w:spacing w:beforeAutospacing="1" w:afterAutospacing="1"/>
              <w:jc w:val="right"/>
            </w:pPr>
            <w:r>
              <w:rPr>
                <w:color w:val="000000"/>
              </w:rPr>
              <w:t>0</w:t>
            </w:r>
          </w:p>
        </w:tc>
        <w:tc>
          <w:tcPr>
            <w:tcW w:w="1439" w:type="dxa"/>
            <w:vAlign w:val="bottom"/>
          </w:tcPr>
          <w:p w14:paraId="29D39CFE" w14:textId="77777777" w:rsidR="004E7119" w:rsidRDefault="002A3363">
            <w:pPr>
              <w:spacing w:beforeAutospacing="1" w:afterAutospacing="1"/>
              <w:jc w:val="right"/>
            </w:pPr>
            <w:r>
              <w:rPr>
                <w:color w:val="000000"/>
              </w:rPr>
              <w:t>0</w:t>
            </w:r>
          </w:p>
        </w:tc>
      </w:tr>
      <w:tr w:rsidR="004E7119" w14:paraId="2B13A8FD" w14:textId="77777777">
        <w:trPr>
          <w:cantSplit/>
        </w:trPr>
        <w:tc>
          <w:tcPr>
            <w:tcW w:w="1575" w:type="dxa"/>
          </w:tcPr>
          <w:p w14:paraId="7FDFF0BD" w14:textId="77777777" w:rsidR="004E7119" w:rsidRDefault="002A3363">
            <w:pPr>
              <w:spacing w:beforeAutospacing="1" w:afterAutospacing="1"/>
            </w:pPr>
            <w:r>
              <w:rPr>
                <w:color w:val="000000"/>
              </w:rPr>
              <w:t>Cost</w:t>
            </w:r>
          </w:p>
        </w:tc>
        <w:tc>
          <w:tcPr>
            <w:tcW w:w="801" w:type="dxa"/>
            <w:vAlign w:val="bottom"/>
          </w:tcPr>
          <w:p w14:paraId="4D2385DC" w14:textId="77777777" w:rsidR="004E7119" w:rsidRDefault="002A3363">
            <w:pPr>
              <w:spacing w:beforeAutospacing="1" w:afterAutospacing="1"/>
              <w:jc w:val="right"/>
            </w:pPr>
            <w:r>
              <w:rPr>
                <w:color w:val="000000"/>
              </w:rPr>
              <w:t>0</w:t>
            </w:r>
          </w:p>
        </w:tc>
        <w:tc>
          <w:tcPr>
            <w:tcW w:w="1497" w:type="dxa"/>
            <w:vAlign w:val="bottom"/>
          </w:tcPr>
          <w:p w14:paraId="66D324DB" w14:textId="77777777" w:rsidR="004E7119" w:rsidRDefault="002A3363">
            <w:pPr>
              <w:spacing w:beforeAutospacing="1" w:afterAutospacing="1"/>
              <w:jc w:val="right"/>
            </w:pPr>
            <w:r>
              <w:rPr>
                <w:color w:val="000000"/>
              </w:rPr>
              <w:t>0</w:t>
            </w:r>
          </w:p>
        </w:tc>
        <w:tc>
          <w:tcPr>
            <w:tcW w:w="1401" w:type="dxa"/>
            <w:vAlign w:val="bottom"/>
          </w:tcPr>
          <w:p w14:paraId="4D39E0E4" w14:textId="77777777" w:rsidR="004E7119" w:rsidRDefault="002A3363">
            <w:pPr>
              <w:spacing w:beforeAutospacing="1" w:afterAutospacing="1"/>
              <w:jc w:val="right"/>
            </w:pPr>
            <w:r>
              <w:rPr>
                <w:color w:val="000000"/>
              </w:rPr>
              <w:t>0</w:t>
            </w:r>
          </w:p>
        </w:tc>
        <w:tc>
          <w:tcPr>
            <w:tcW w:w="1439" w:type="dxa"/>
            <w:vAlign w:val="bottom"/>
          </w:tcPr>
          <w:p w14:paraId="407563EB" w14:textId="77777777" w:rsidR="004E7119" w:rsidRDefault="002A3363">
            <w:pPr>
              <w:spacing w:beforeAutospacing="1" w:afterAutospacing="1"/>
              <w:jc w:val="right"/>
            </w:pPr>
            <w:r>
              <w:rPr>
                <w:color w:val="000000"/>
              </w:rPr>
              <w:t>0</w:t>
            </w:r>
          </w:p>
        </w:tc>
        <w:tc>
          <w:tcPr>
            <w:tcW w:w="1438" w:type="dxa"/>
            <w:vAlign w:val="bottom"/>
          </w:tcPr>
          <w:p w14:paraId="72870715" w14:textId="77777777" w:rsidR="004E7119" w:rsidRDefault="002A3363">
            <w:pPr>
              <w:spacing w:beforeAutospacing="1" w:afterAutospacing="1"/>
              <w:jc w:val="right"/>
            </w:pPr>
            <w:r>
              <w:rPr>
                <w:color w:val="000000"/>
              </w:rPr>
              <w:t>0</w:t>
            </w:r>
          </w:p>
        </w:tc>
        <w:tc>
          <w:tcPr>
            <w:tcW w:w="1439" w:type="dxa"/>
            <w:vAlign w:val="bottom"/>
          </w:tcPr>
          <w:p w14:paraId="4127B33B" w14:textId="77777777" w:rsidR="004E7119" w:rsidRDefault="002A3363">
            <w:pPr>
              <w:spacing w:beforeAutospacing="1" w:afterAutospacing="1"/>
              <w:jc w:val="right"/>
            </w:pPr>
            <w:r>
              <w:rPr>
                <w:color w:val="000000"/>
              </w:rPr>
              <w:t>0</w:t>
            </w:r>
          </w:p>
        </w:tc>
      </w:tr>
    </w:tbl>
    <w:p w14:paraId="2C46C17C" w14:textId="5D9DD9B5" w:rsidR="004E7119" w:rsidRDefault="002A3363">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sidR="00A85082">
        <w:rPr>
          <w:rFonts w:asciiTheme="minorHAnsi" w:hAnsiTheme="minorHAnsi"/>
          <w:noProof/>
        </w:rPr>
        <w:t>10</w:t>
      </w:r>
      <w:r>
        <w:rPr>
          <w:rFonts w:asciiTheme="minorHAnsi" w:hAnsiTheme="minorHAnsi"/>
        </w:rPr>
        <w:fldChar w:fldCharType="end"/>
      </w:r>
      <w:r>
        <w:rPr>
          <w:rFonts w:asciiTheme="minorHAnsi" w:hAnsiTheme="minorHAnsi"/>
        </w:rPr>
        <w:t xml:space="preserve"> – Relocation and Real Property Acquisition</w:t>
      </w:r>
    </w:p>
    <w:p w14:paraId="31798824" w14:textId="77777777" w:rsidR="004E7119" w:rsidRDefault="004E7119">
      <w:pPr>
        <w:spacing w:after="0" w:line="240" w:lineRule="auto"/>
        <w:rPr>
          <w:b/>
        </w:rPr>
      </w:pPr>
    </w:p>
    <w:p w14:paraId="1E689B9B" w14:textId="77777777" w:rsidR="004E7119" w:rsidRDefault="004E7119">
      <w:pPr>
        <w:spacing w:after="0" w:line="240" w:lineRule="auto"/>
        <w:rPr>
          <w:b/>
        </w:rPr>
      </w:pPr>
    </w:p>
    <w:p w14:paraId="2E264A93" w14:textId="77777777" w:rsidR="004E7119" w:rsidRDefault="004E7119">
      <w:pPr>
        <w:widowControl w:val="0"/>
        <w:spacing w:after="0" w:line="240" w:lineRule="auto"/>
        <w:rPr>
          <w:sz w:val="24"/>
          <w:szCs w:val="24"/>
        </w:rPr>
      </w:pPr>
    </w:p>
    <w:p w14:paraId="0E07A4E6" w14:textId="77777777" w:rsidR="004E7119" w:rsidRDefault="004E7119">
      <w:pPr>
        <w:spacing w:after="0" w:line="240" w:lineRule="auto"/>
      </w:pPr>
      <w:bookmarkStart w:id="1" w:name="_Toc309810475"/>
    </w:p>
    <w:p w14:paraId="564DC792" w14:textId="77777777" w:rsidR="004E7119" w:rsidRDefault="004E7119">
      <w:pPr>
        <w:sectPr w:rsidR="004E7119">
          <w:pgSz w:w="12240" w:h="15840" w:code="1"/>
          <w:pgMar w:top="1440" w:right="1440" w:bottom="1440" w:left="1440" w:header="720" w:footer="720" w:gutter="0"/>
          <w:cols w:space="720"/>
          <w:docGrid w:linePitch="360"/>
        </w:sectPr>
      </w:pPr>
    </w:p>
    <w:p w14:paraId="00EE18D7" w14:textId="77777777" w:rsidR="004E7119" w:rsidRDefault="002A3363">
      <w:pPr>
        <w:pStyle w:val="Heading2"/>
        <w:rPr>
          <w:rFonts w:ascii="Calibri" w:hAnsi="Calibri"/>
          <w:i w:val="0"/>
        </w:rPr>
      </w:pPr>
      <w:r>
        <w:rPr>
          <w:rFonts w:ascii="Calibri" w:hAnsi="Calibri"/>
          <w:i w:val="0"/>
        </w:rPr>
        <w:lastRenderedPageBreak/>
        <w:t>CR-20 - Affordable Housing 91.520(b)</w:t>
      </w:r>
    </w:p>
    <w:p w14:paraId="493B99B1" w14:textId="77777777" w:rsidR="004E7119" w:rsidRDefault="002A3363">
      <w:pPr>
        <w:keepNext/>
        <w:widowControl w:val="0"/>
        <w:spacing w:after="0" w:line="240" w:lineRule="auto"/>
        <w:rPr>
          <w:b/>
          <w:sz w:val="24"/>
          <w:szCs w:val="24"/>
        </w:rPr>
      </w:pPr>
      <w:r>
        <w:rPr>
          <w:b/>
          <w:sz w:val="24"/>
          <w:szCs w:val="24"/>
        </w:rPr>
        <w:t>Evaluation of the jurisdiction's progress in providing affordable housing, including the number and types of families served, the number of extremely low-income, low-income, moderate-income, and middle-income persons served.</w:t>
      </w:r>
    </w:p>
    <w:p w14:paraId="0E83EDE0" w14:textId="77777777" w:rsidR="004E7119" w:rsidRDefault="004E7119">
      <w:pPr>
        <w:keepNext/>
        <w:widowControl w:val="0"/>
        <w:spacing w:after="0" w:line="240" w:lineRule="auto"/>
        <w:rPr>
          <w:sz w:val="24"/>
          <w:szCs w:val="24"/>
        </w:r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183"/>
        <w:gridCol w:w="2583"/>
        <w:gridCol w:w="2584"/>
      </w:tblGrid>
      <w:tr w:rsidR="004E7119" w14:paraId="1DDE2144" w14:textId="77777777">
        <w:trPr>
          <w:cantSplit/>
          <w:tblHeader/>
        </w:trPr>
        <w:tc>
          <w:tcPr>
            <w:tcW w:w="4293" w:type="dxa"/>
          </w:tcPr>
          <w:p w14:paraId="76496FC1" w14:textId="77777777" w:rsidR="004E7119" w:rsidRDefault="004E7119">
            <w:pPr>
              <w:pStyle w:val="Caption"/>
              <w:keepNext/>
              <w:widowControl w:val="0"/>
              <w:jc w:val="center"/>
              <w:rPr>
                <w:rFonts w:ascii="Calibri" w:hAnsi="Calibri"/>
                <w:sz w:val="22"/>
                <w:szCs w:val="22"/>
              </w:rPr>
            </w:pPr>
          </w:p>
        </w:tc>
        <w:tc>
          <w:tcPr>
            <w:tcW w:w="2648" w:type="dxa"/>
          </w:tcPr>
          <w:p w14:paraId="7A5146F4" w14:textId="77777777" w:rsidR="004E7119" w:rsidRDefault="002A3363">
            <w:pPr>
              <w:pStyle w:val="Caption"/>
              <w:keepNext/>
              <w:widowControl w:val="0"/>
              <w:jc w:val="center"/>
              <w:rPr>
                <w:rFonts w:ascii="Calibri" w:hAnsi="Calibri"/>
                <w:sz w:val="22"/>
                <w:szCs w:val="22"/>
              </w:rPr>
            </w:pPr>
            <w:r>
              <w:rPr>
                <w:rFonts w:ascii="Calibri" w:hAnsi="Calibri"/>
                <w:sz w:val="22"/>
                <w:szCs w:val="22"/>
              </w:rPr>
              <w:t>One-Year Goal</w:t>
            </w:r>
          </w:p>
        </w:tc>
        <w:tc>
          <w:tcPr>
            <w:tcW w:w="2649" w:type="dxa"/>
          </w:tcPr>
          <w:p w14:paraId="1B1C0AFC" w14:textId="77777777" w:rsidR="004E7119" w:rsidRDefault="002A3363">
            <w:pPr>
              <w:pStyle w:val="Caption"/>
              <w:keepNext/>
              <w:widowControl w:val="0"/>
              <w:jc w:val="center"/>
              <w:rPr>
                <w:rFonts w:ascii="Calibri" w:hAnsi="Calibri"/>
                <w:sz w:val="22"/>
                <w:szCs w:val="22"/>
              </w:rPr>
            </w:pPr>
            <w:r>
              <w:rPr>
                <w:rFonts w:ascii="Calibri" w:hAnsi="Calibri"/>
                <w:sz w:val="22"/>
                <w:szCs w:val="22"/>
              </w:rPr>
              <w:t>Actual</w:t>
            </w:r>
          </w:p>
        </w:tc>
      </w:tr>
      <w:tr w:rsidR="004E7119" w14:paraId="6B979121" w14:textId="77777777">
        <w:trPr>
          <w:cantSplit/>
        </w:trPr>
        <w:tc>
          <w:tcPr>
            <w:tcW w:w="4293" w:type="dxa"/>
            <w:vAlign w:val="bottom"/>
          </w:tcPr>
          <w:p w14:paraId="6DAEFEA0" w14:textId="77777777" w:rsidR="004E7119" w:rsidRDefault="002A3363">
            <w:pPr>
              <w:spacing w:beforeAutospacing="1" w:afterAutospacing="1"/>
            </w:pPr>
            <w:r>
              <w:rPr>
                <w:color w:val="000000"/>
              </w:rPr>
              <w:t>Number of Homeless households to be provided affordable housing units</w:t>
            </w:r>
          </w:p>
        </w:tc>
        <w:tc>
          <w:tcPr>
            <w:tcW w:w="2648" w:type="dxa"/>
            <w:vAlign w:val="bottom"/>
          </w:tcPr>
          <w:p w14:paraId="6D6B208E" w14:textId="77777777" w:rsidR="004E7119" w:rsidRDefault="002A3363">
            <w:pPr>
              <w:spacing w:beforeAutospacing="1" w:afterAutospacing="1"/>
              <w:jc w:val="right"/>
            </w:pPr>
            <w:r>
              <w:rPr>
                <w:color w:val="000000"/>
              </w:rPr>
              <w:t>0</w:t>
            </w:r>
          </w:p>
        </w:tc>
        <w:tc>
          <w:tcPr>
            <w:tcW w:w="2649" w:type="dxa"/>
            <w:vAlign w:val="bottom"/>
          </w:tcPr>
          <w:p w14:paraId="41CCDF19" w14:textId="77777777" w:rsidR="004E7119" w:rsidRDefault="002A3363">
            <w:pPr>
              <w:spacing w:beforeAutospacing="1" w:afterAutospacing="1"/>
              <w:jc w:val="right"/>
            </w:pPr>
            <w:r>
              <w:rPr>
                <w:color w:val="000000"/>
              </w:rPr>
              <w:t>0</w:t>
            </w:r>
          </w:p>
        </w:tc>
      </w:tr>
      <w:tr w:rsidR="004E7119" w14:paraId="2C6A3D04" w14:textId="77777777">
        <w:trPr>
          <w:cantSplit/>
        </w:trPr>
        <w:tc>
          <w:tcPr>
            <w:tcW w:w="4293" w:type="dxa"/>
            <w:vAlign w:val="bottom"/>
          </w:tcPr>
          <w:p w14:paraId="30A79108" w14:textId="77777777" w:rsidR="004E7119" w:rsidRDefault="002A3363">
            <w:pPr>
              <w:spacing w:beforeAutospacing="1" w:afterAutospacing="1"/>
            </w:pPr>
            <w:r>
              <w:rPr>
                <w:color w:val="000000"/>
              </w:rPr>
              <w:t>Number of Non-Homeless households to be provided affordable housing units</w:t>
            </w:r>
          </w:p>
        </w:tc>
        <w:tc>
          <w:tcPr>
            <w:tcW w:w="2648" w:type="dxa"/>
            <w:vAlign w:val="bottom"/>
          </w:tcPr>
          <w:p w14:paraId="2773A511" w14:textId="48076A64" w:rsidR="004E7119" w:rsidRDefault="00743C0E">
            <w:pPr>
              <w:spacing w:beforeAutospacing="1" w:afterAutospacing="1"/>
              <w:jc w:val="right"/>
            </w:pPr>
            <w:r>
              <w:rPr>
                <w:color w:val="000000"/>
              </w:rPr>
              <w:t>6</w:t>
            </w:r>
          </w:p>
        </w:tc>
        <w:tc>
          <w:tcPr>
            <w:tcW w:w="2649" w:type="dxa"/>
            <w:vAlign w:val="bottom"/>
          </w:tcPr>
          <w:p w14:paraId="1A9049C1" w14:textId="3577E773" w:rsidR="004E7119" w:rsidRPr="0031655F" w:rsidRDefault="00A377D6">
            <w:pPr>
              <w:spacing w:beforeAutospacing="1" w:afterAutospacing="1"/>
              <w:jc w:val="right"/>
            </w:pPr>
            <w:r w:rsidRPr="0031655F">
              <w:rPr>
                <w:color w:val="000000"/>
              </w:rPr>
              <w:t xml:space="preserve"> 12</w:t>
            </w:r>
          </w:p>
        </w:tc>
      </w:tr>
      <w:tr w:rsidR="004E7119" w14:paraId="0EE74846" w14:textId="77777777">
        <w:trPr>
          <w:cantSplit/>
        </w:trPr>
        <w:tc>
          <w:tcPr>
            <w:tcW w:w="4293" w:type="dxa"/>
            <w:vAlign w:val="bottom"/>
          </w:tcPr>
          <w:p w14:paraId="02B39C5F" w14:textId="77777777" w:rsidR="004E7119" w:rsidRDefault="002A3363">
            <w:pPr>
              <w:spacing w:beforeAutospacing="1" w:afterAutospacing="1"/>
            </w:pPr>
            <w:r>
              <w:rPr>
                <w:color w:val="000000"/>
              </w:rPr>
              <w:t>Number of Special-Needs households to be provided affordable housing units</w:t>
            </w:r>
          </w:p>
        </w:tc>
        <w:tc>
          <w:tcPr>
            <w:tcW w:w="2648" w:type="dxa"/>
            <w:vAlign w:val="bottom"/>
          </w:tcPr>
          <w:p w14:paraId="3F829ACA" w14:textId="77777777" w:rsidR="004E7119" w:rsidRDefault="002A3363">
            <w:pPr>
              <w:spacing w:beforeAutospacing="1" w:afterAutospacing="1"/>
              <w:jc w:val="right"/>
            </w:pPr>
            <w:r>
              <w:rPr>
                <w:color w:val="000000"/>
              </w:rPr>
              <w:t>0</w:t>
            </w:r>
          </w:p>
        </w:tc>
        <w:tc>
          <w:tcPr>
            <w:tcW w:w="2649" w:type="dxa"/>
            <w:vAlign w:val="bottom"/>
          </w:tcPr>
          <w:p w14:paraId="10790CA8" w14:textId="77777777" w:rsidR="004E7119" w:rsidRPr="0031655F" w:rsidRDefault="002A3363">
            <w:pPr>
              <w:spacing w:beforeAutospacing="1" w:afterAutospacing="1"/>
              <w:jc w:val="right"/>
            </w:pPr>
            <w:r w:rsidRPr="0031655F">
              <w:rPr>
                <w:color w:val="000000"/>
              </w:rPr>
              <w:t>0</w:t>
            </w:r>
          </w:p>
        </w:tc>
      </w:tr>
      <w:tr w:rsidR="004E7119" w14:paraId="665917C3" w14:textId="77777777">
        <w:trPr>
          <w:cantSplit/>
        </w:trPr>
        <w:tc>
          <w:tcPr>
            <w:tcW w:w="4293" w:type="dxa"/>
          </w:tcPr>
          <w:p w14:paraId="59CC6498" w14:textId="77777777" w:rsidR="004E7119" w:rsidRDefault="002A3363">
            <w:pPr>
              <w:spacing w:beforeAutospacing="1" w:afterAutospacing="1"/>
            </w:pPr>
            <w:r>
              <w:rPr>
                <w:b/>
                <w:color w:val="000000"/>
              </w:rPr>
              <w:t>Total</w:t>
            </w:r>
          </w:p>
        </w:tc>
        <w:tc>
          <w:tcPr>
            <w:tcW w:w="2648" w:type="dxa"/>
            <w:vAlign w:val="bottom"/>
          </w:tcPr>
          <w:p w14:paraId="113BF9C8" w14:textId="5F894D87" w:rsidR="004E7119" w:rsidRDefault="002A3363">
            <w:pPr>
              <w:spacing w:beforeAutospacing="1" w:afterAutospacing="1"/>
              <w:jc w:val="right"/>
            </w:pPr>
            <w:r w:rsidRPr="002C3564">
              <w:rPr>
                <w:b/>
                <w:color w:val="000000"/>
              </w:rPr>
              <w:t>6</w:t>
            </w:r>
          </w:p>
        </w:tc>
        <w:tc>
          <w:tcPr>
            <w:tcW w:w="2649" w:type="dxa"/>
            <w:vAlign w:val="bottom"/>
          </w:tcPr>
          <w:p w14:paraId="44EA29F9" w14:textId="42A68430" w:rsidR="004E7119" w:rsidRPr="0031655F" w:rsidRDefault="00A377D6">
            <w:pPr>
              <w:spacing w:beforeAutospacing="1" w:afterAutospacing="1"/>
              <w:jc w:val="right"/>
            </w:pPr>
            <w:r w:rsidRPr="0031655F">
              <w:rPr>
                <w:b/>
                <w:color w:val="000000"/>
              </w:rPr>
              <w:t xml:space="preserve"> 12</w:t>
            </w:r>
          </w:p>
        </w:tc>
      </w:tr>
    </w:tbl>
    <w:p w14:paraId="02F179AC" w14:textId="28FCC701" w:rsidR="004E7119" w:rsidRDefault="002A3363">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sidR="00A85082">
        <w:rPr>
          <w:rFonts w:asciiTheme="minorHAnsi" w:hAnsiTheme="minorHAnsi"/>
          <w:noProof/>
        </w:rPr>
        <w:t>11</w:t>
      </w:r>
      <w:r>
        <w:rPr>
          <w:rFonts w:asciiTheme="minorHAnsi" w:hAnsiTheme="minorHAnsi"/>
        </w:rPr>
        <w:fldChar w:fldCharType="end"/>
      </w:r>
      <w:r>
        <w:rPr>
          <w:rFonts w:asciiTheme="minorHAnsi" w:hAnsiTheme="minorHAnsi"/>
        </w:rPr>
        <w:t xml:space="preserve"> – Number of Households</w:t>
      </w:r>
    </w:p>
    <w:p w14:paraId="04D56932" w14:textId="77777777" w:rsidR="004E7119" w:rsidRDefault="004E7119"/>
    <w:p w14:paraId="0A314F01" w14:textId="77777777" w:rsidR="004E7119" w:rsidRDefault="004E7119"/>
    <w:p w14:paraId="20B08770" w14:textId="77777777" w:rsidR="004E7119" w:rsidRDefault="004E7119">
      <w:pPr>
        <w:rPr>
          <w:rFonts w:cs="Arial"/>
        </w:r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183"/>
        <w:gridCol w:w="2583"/>
        <w:gridCol w:w="2584"/>
      </w:tblGrid>
      <w:tr w:rsidR="004E7119" w14:paraId="5739EAF9" w14:textId="77777777">
        <w:trPr>
          <w:cantSplit/>
          <w:tblHeader/>
        </w:trPr>
        <w:tc>
          <w:tcPr>
            <w:tcW w:w="4293" w:type="dxa"/>
          </w:tcPr>
          <w:p w14:paraId="2F48931B" w14:textId="77777777" w:rsidR="004E7119" w:rsidRDefault="004E7119">
            <w:pPr>
              <w:pStyle w:val="Caption"/>
              <w:keepNext/>
              <w:widowControl w:val="0"/>
              <w:jc w:val="center"/>
              <w:rPr>
                <w:rFonts w:ascii="Calibri" w:hAnsi="Calibri"/>
                <w:sz w:val="22"/>
                <w:szCs w:val="22"/>
              </w:rPr>
            </w:pPr>
          </w:p>
        </w:tc>
        <w:tc>
          <w:tcPr>
            <w:tcW w:w="2648" w:type="dxa"/>
          </w:tcPr>
          <w:p w14:paraId="0E404755" w14:textId="77777777" w:rsidR="004E7119" w:rsidRDefault="002A3363">
            <w:pPr>
              <w:pStyle w:val="Caption"/>
              <w:keepNext/>
              <w:widowControl w:val="0"/>
              <w:jc w:val="center"/>
              <w:rPr>
                <w:rFonts w:ascii="Calibri" w:hAnsi="Calibri"/>
                <w:sz w:val="22"/>
                <w:szCs w:val="22"/>
              </w:rPr>
            </w:pPr>
            <w:r>
              <w:rPr>
                <w:rFonts w:ascii="Calibri" w:hAnsi="Calibri"/>
                <w:sz w:val="22"/>
                <w:szCs w:val="22"/>
              </w:rPr>
              <w:t>One-Year Goal</w:t>
            </w:r>
          </w:p>
        </w:tc>
        <w:tc>
          <w:tcPr>
            <w:tcW w:w="2649" w:type="dxa"/>
          </w:tcPr>
          <w:p w14:paraId="52FD3728" w14:textId="77777777" w:rsidR="004E7119" w:rsidRDefault="002A3363">
            <w:pPr>
              <w:pStyle w:val="Caption"/>
              <w:keepNext/>
              <w:widowControl w:val="0"/>
              <w:jc w:val="center"/>
              <w:rPr>
                <w:rFonts w:ascii="Calibri" w:hAnsi="Calibri"/>
                <w:sz w:val="22"/>
                <w:szCs w:val="22"/>
              </w:rPr>
            </w:pPr>
            <w:r>
              <w:rPr>
                <w:rFonts w:ascii="Calibri" w:hAnsi="Calibri"/>
                <w:sz w:val="22"/>
                <w:szCs w:val="22"/>
              </w:rPr>
              <w:t>Actual</w:t>
            </w:r>
          </w:p>
        </w:tc>
      </w:tr>
      <w:tr w:rsidR="004E7119" w14:paraId="45DE197D" w14:textId="77777777">
        <w:trPr>
          <w:cantSplit/>
        </w:trPr>
        <w:tc>
          <w:tcPr>
            <w:tcW w:w="4293" w:type="dxa"/>
            <w:vAlign w:val="bottom"/>
          </w:tcPr>
          <w:p w14:paraId="63F82C72" w14:textId="77777777" w:rsidR="004E7119" w:rsidRDefault="002A3363">
            <w:pPr>
              <w:spacing w:beforeAutospacing="1" w:afterAutospacing="1"/>
            </w:pPr>
            <w:r>
              <w:rPr>
                <w:color w:val="000000"/>
              </w:rPr>
              <w:t>Number of households supported through Rental Assistance</w:t>
            </w:r>
          </w:p>
        </w:tc>
        <w:tc>
          <w:tcPr>
            <w:tcW w:w="2648" w:type="dxa"/>
            <w:vAlign w:val="bottom"/>
          </w:tcPr>
          <w:p w14:paraId="42CDF106" w14:textId="3848721C" w:rsidR="004E7119" w:rsidRDefault="00CA1B7D">
            <w:pPr>
              <w:spacing w:beforeAutospacing="1" w:afterAutospacing="1"/>
              <w:jc w:val="right"/>
            </w:pPr>
            <w:r>
              <w:t>4</w:t>
            </w:r>
          </w:p>
        </w:tc>
        <w:tc>
          <w:tcPr>
            <w:tcW w:w="2649" w:type="dxa"/>
            <w:vAlign w:val="bottom"/>
          </w:tcPr>
          <w:p w14:paraId="71A44453" w14:textId="4D450B58" w:rsidR="004E7119" w:rsidRPr="00A95C39" w:rsidRDefault="00A377D6">
            <w:pPr>
              <w:spacing w:beforeAutospacing="1" w:afterAutospacing="1"/>
              <w:jc w:val="right"/>
            </w:pPr>
            <w:r w:rsidRPr="00A95C39">
              <w:rPr>
                <w:color w:val="000000"/>
              </w:rPr>
              <w:t xml:space="preserve"> 4</w:t>
            </w:r>
          </w:p>
        </w:tc>
      </w:tr>
      <w:tr w:rsidR="004E7119" w14:paraId="11B4FDA3" w14:textId="77777777">
        <w:trPr>
          <w:cantSplit/>
        </w:trPr>
        <w:tc>
          <w:tcPr>
            <w:tcW w:w="4293" w:type="dxa"/>
            <w:vAlign w:val="bottom"/>
          </w:tcPr>
          <w:p w14:paraId="7484BBA1" w14:textId="77777777" w:rsidR="004E7119" w:rsidRDefault="002A3363">
            <w:pPr>
              <w:spacing w:beforeAutospacing="1" w:afterAutospacing="1"/>
            </w:pPr>
            <w:r>
              <w:rPr>
                <w:color w:val="000000"/>
              </w:rPr>
              <w:t>Number of households supported through The Production of New Units</w:t>
            </w:r>
          </w:p>
        </w:tc>
        <w:tc>
          <w:tcPr>
            <w:tcW w:w="2648" w:type="dxa"/>
            <w:vAlign w:val="bottom"/>
          </w:tcPr>
          <w:p w14:paraId="231F0CEC" w14:textId="188482D3" w:rsidR="004E7119" w:rsidRDefault="00CA1B7D">
            <w:pPr>
              <w:spacing w:beforeAutospacing="1" w:afterAutospacing="1"/>
              <w:jc w:val="right"/>
            </w:pPr>
            <w:r>
              <w:t>4</w:t>
            </w:r>
          </w:p>
        </w:tc>
        <w:tc>
          <w:tcPr>
            <w:tcW w:w="2649" w:type="dxa"/>
            <w:vAlign w:val="bottom"/>
          </w:tcPr>
          <w:p w14:paraId="793F6FE8" w14:textId="6CD11F6F" w:rsidR="004E7119" w:rsidRPr="00A95C39" w:rsidRDefault="00597C59">
            <w:pPr>
              <w:spacing w:beforeAutospacing="1" w:afterAutospacing="1"/>
              <w:jc w:val="right"/>
            </w:pPr>
            <w:r w:rsidRPr="00A95C39">
              <w:rPr>
                <w:color w:val="000000"/>
              </w:rPr>
              <w:t xml:space="preserve">  4</w:t>
            </w:r>
            <w:r w:rsidR="00A377D6" w:rsidRPr="00A95C39">
              <w:rPr>
                <w:color w:val="000000"/>
              </w:rPr>
              <w:t xml:space="preserve"> </w:t>
            </w:r>
          </w:p>
        </w:tc>
      </w:tr>
      <w:tr w:rsidR="004E7119" w14:paraId="56F5C108" w14:textId="77777777">
        <w:trPr>
          <w:cantSplit/>
        </w:trPr>
        <w:tc>
          <w:tcPr>
            <w:tcW w:w="4293" w:type="dxa"/>
            <w:vAlign w:val="bottom"/>
          </w:tcPr>
          <w:p w14:paraId="67730E7C" w14:textId="77777777" w:rsidR="004E7119" w:rsidRDefault="002A3363">
            <w:pPr>
              <w:spacing w:beforeAutospacing="1" w:afterAutospacing="1"/>
            </w:pPr>
            <w:r>
              <w:rPr>
                <w:color w:val="000000"/>
              </w:rPr>
              <w:t>Number of households supported through Rehab of Existing Units</w:t>
            </w:r>
          </w:p>
        </w:tc>
        <w:tc>
          <w:tcPr>
            <w:tcW w:w="2648" w:type="dxa"/>
            <w:vAlign w:val="bottom"/>
          </w:tcPr>
          <w:p w14:paraId="43FF94B2" w14:textId="4D88A812" w:rsidR="004E7119" w:rsidRDefault="00CA1B7D">
            <w:pPr>
              <w:spacing w:beforeAutospacing="1" w:afterAutospacing="1"/>
              <w:jc w:val="right"/>
            </w:pPr>
            <w:r>
              <w:rPr>
                <w:color w:val="000000"/>
              </w:rPr>
              <w:t>6</w:t>
            </w:r>
          </w:p>
        </w:tc>
        <w:tc>
          <w:tcPr>
            <w:tcW w:w="2649" w:type="dxa"/>
            <w:vAlign w:val="bottom"/>
          </w:tcPr>
          <w:p w14:paraId="3EF84ED9" w14:textId="2DAFD7D1" w:rsidR="004E7119" w:rsidRPr="00A95C39" w:rsidRDefault="00597C59">
            <w:pPr>
              <w:spacing w:beforeAutospacing="1" w:afterAutospacing="1"/>
              <w:jc w:val="right"/>
            </w:pPr>
            <w:r w:rsidRPr="00A95C39">
              <w:rPr>
                <w:color w:val="000000"/>
              </w:rPr>
              <w:t xml:space="preserve"> 4</w:t>
            </w:r>
          </w:p>
        </w:tc>
      </w:tr>
      <w:tr w:rsidR="004E7119" w14:paraId="4BC8D301" w14:textId="77777777">
        <w:trPr>
          <w:cantSplit/>
        </w:trPr>
        <w:tc>
          <w:tcPr>
            <w:tcW w:w="4293" w:type="dxa"/>
            <w:vAlign w:val="bottom"/>
          </w:tcPr>
          <w:p w14:paraId="2CFB46D2" w14:textId="77777777" w:rsidR="004E7119" w:rsidRDefault="002A3363">
            <w:pPr>
              <w:spacing w:beforeAutospacing="1" w:afterAutospacing="1"/>
            </w:pPr>
            <w:r>
              <w:rPr>
                <w:color w:val="000000"/>
              </w:rPr>
              <w:t>Number of households supported through Acquisition of Existing Units</w:t>
            </w:r>
          </w:p>
        </w:tc>
        <w:tc>
          <w:tcPr>
            <w:tcW w:w="2648" w:type="dxa"/>
            <w:vAlign w:val="bottom"/>
          </w:tcPr>
          <w:p w14:paraId="3ED8A3E1" w14:textId="3E25BF6A" w:rsidR="004E7119" w:rsidRDefault="00CA1B7D">
            <w:pPr>
              <w:spacing w:beforeAutospacing="1" w:afterAutospacing="1"/>
              <w:jc w:val="right"/>
            </w:pPr>
            <w:r>
              <w:rPr>
                <w:color w:val="000000"/>
              </w:rPr>
              <w:t>4</w:t>
            </w:r>
          </w:p>
        </w:tc>
        <w:tc>
          <w:tcPr>
            <w:tcW w:w="2649" w:type="dxa"/>
            <w:vAlign w:val="bottom"/>
          </w:tcPr>
          <w:p w14:paraId="1813D46B" w14:textId="77777777" w:rsidR="004E7119" w:rsidRPr="00A95C39" w:rsidRDefault="002A3363">
            <w:pPr>
              <w:spacing w:beforeAutospacing="1" w:afterAutospacing="1"/>
              <w:jc w:val="right"/>
            </w:pPr>
            <w:r w:rsidRPr="00A95C39">
              <w:rPr>
                <w:color w:val="000000"/>
              </w:rPr>
              <w:t>0</w:t>
            </w:r>
          </w:p>
        </w:tc>
      </w:tr>
      <w:tr w:rsidR="004E7119" w14:paraId="46B460FB" w14:textId="77777777">
        <w:trPr>
          <w:cantSplit/>
        </w:trPr>
        <w:tc>
          <w:tcPr>
            <w:tcW w:w="4293" w:type="dxa"/>
          </w:tcPr>
          <w:p w14:paraId="7253A7CD" w14:textId="77777777" w:rsidR="004E7119" w:rsidRDefault="002A3363">
            <w:pPr>
              <w:spacing w:beforeAutospacing="1" w:afterAutospacing="1"/>
            </w:pPr>
            <w:r>
              <w:rPr>
                <w:b/>
                <w:color w:val="000000"/>
              </w:rPr>
              <w:t>Total</w:t>
            </w:r>
          </w:p>
        </w:tc>
        <w:tc>
          <w:tcPr>
            <w:tcW w:w="2648" w:type="dxa"/>
            <w:vAlign w:val="bottom"/>
          </w:tcPr>
          <w:p w14:paraId="0E594688" w14:textId="4C493AA6" w:rsidR="004E7119" w:rsidRDefault="00CA1B7D">
            <w:pPr>
              <w:spacing w:beforeAutospacing="1" w:afterAutospacing="1"/>
              <w:jc w:val="right"/>
            </w:pPr>
            <w:r>
              <w:rPr>
                <w:b/>
                <w:color w:val="000000"/>
              </w:rPr>
              <w:t>18</w:t>
            </w:r>
          </w:p>
        </w:tc>
        <w:tc>
          <w:tcPr>
            <w:tcW w:w="2649" w:type="dxa"/>
            <w:vAlign w:val="bottom"/>
          </w:tcPr>
          <w:p w14:paraId="11F387FB" w14:textId="4CA5DA21" w:rsidR="004E7119" w:rsidRDefault="00A95C39">
            <w:pPr>
              <w:spacing w:beforeAutospacing="1" w:afterAutospacing="1"/>
              <w:jc w:val="right"/>
            </w:pPr>
            <w:r>
              <w:t>12</w:t>
            </w:r>
          </w:p>
        </w:tc>
      </w:tr>
    </w:tbl>
    <w:p w14:paraId="10F94AE3" w14:textId="135722F4" w:rsidR="004E7119" w:rsidRDefault="002A3363">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sidR="00A85082">
        <w:rPr>
          <w:rFonts w:asciiTheme="minorHAnsi" w:hAnsiTheme="minorHAnsi"/>
          <w:noProof/>
        </w:rPr>
        <w:t>12</w:t>
      </w:r>
      <w:r>
        <w:rPr>
          <w:rFonts w:asciiTheme="minorHAnsi" w:hAnsiTheme="minorHAnsi"/>
        </w:rPr>
        <w:fldChar w:fldCharType="end"/>
      </w:r>
      <w:r>
        <w:rPr>
          <w:rFonts w:asciiTheme="minorHAnsi" w:hAnsiTheme="minorHAnsi"/>
        </w:rPr>
        <w:t xml:space="preserve"> – Number of Households Supported</w:t>
      </w:r>
    </w:p>
    <w:p w14:paraId="01C44C4D" w14:textId="77777777" w:rsidR="004E7119" w:rsidRDefault="004E7119">
      <w:pPr>
        <w:rPr>
          <w:rFonts w:cs="Arial"/>
        </w:rPr>
      </w:pPr>
    </w:p>
    <w:p w14:paraId="62AFDDDE" w14:textId="77777777" w:rsidR="004E7119" w:rsidRDefault="002A3363">
      <w:pPr>
        <w:widowControl w:val="0"/>
        <w:spacing w:line="204" w:lineRule="auto"/>
        <w:rPr>
          <w:b/>
          <w:sz w:val="24"/>
          <w:szCs w:val="24"/>
        </w:rPr>
      </w:pPr>
      <w:r>
        <w:rPr>
          <w:b/>
          <w:sz w:val="24"/>
          <w:szCs w:val="24"/>
        </w:rPr>
        <w:t>Discuss the difference between goals and outcomes and problems encountered in meeting these goals.</w:t>
      </w:r>
    </w:p>
    <w:p w14:paraId="0FDF7AD3" w14:textId="3D4B3279" w:rsidR="004E7119" w:rsidRDefault="002A3363">
      <w:pPr>
        <w:spacing w:beforeAutospacing="1" w:afterAutospacing="1"/>
        <w:rPr>
          <w:rFonts w:cs="Arial"/>
        </w:rPr>
      </w:pPr>
      <w:r>
        <w:rPr>
          <w:rFonts w:cs="Arial"/>
        </w:rPr>
        <w:t xml:space="preserve">The goal of the Consortium is to develop viable communities by providing or expanding safe decent housing and sustaining a suitable living environment for low and moderate income persons.  Projects and programs in our target communities </w:t>
      </w:r>
      <w:r w:rsidR="00424968" w:rsidRPr="00424968">
        <w:rPr>
          <w:rFonts w:cs="Arial"/>
        </w:rPr>
        <w:t>i</w:t>
      </w:r>
      <w:r w:rsidR="002D3760" w:rsidRPr="00424968">
        <w:rPr>
          <w:rFonts w:cs="Arial"/>
        </w:rPr>
        <w:t xml:space="preserve">mprove affordable housing, shelter for the homeless, safety for the homeowners, </w:t>
      </w:r>
      <w:r w:rsidR="007B07C9">
        <w:rPr>
          <w:rFonts w:cs="Arial"/>
        </w:rPr>
        <w:t xml:space="preserve">and provide </w:t>
      </w:r>
      <w:r w:rsidR="002D3760" w:rsidRPr="00424968">
        <w:rPr>
          <w:rFonts w:cs="Arial"/>
        </w:rPr>
        <w:t>case management for wrap around services.</w:t>
      </w:r>
    </w:p>
    <w:p w14:paraId="0B77ADB9" w14:textId="77777777" w:rsidR="004E7119" w:rsidRDefault="002A3363">
      <w:pPr>
        <w:spacing w:beforeAutospacing="1" w:afterAutospacing="1"/>
        <w:rPr>
          <w:rFonts w:cs="Arial"/>
        </w:rPr>
      </w:pPr>
      <w:r>
        <w:rPr>
          <w:rFonts w:cs="Arial"/>
        </w:rPr>
        <w:t>Reasons goals were not met:</w:t>
      </w:r>
    </w:p>
    <w:p w14:paraId="0950471C" w14:textId="6828BACF" w:rsidR="004E7119" w:rsidRDefault="0046179B">
      <w:pPr>
        <w:spacing w:beforeAutospacing="1" w:afterAutospacing="1"/>
        <w:rPr>
          <w:rFonts w:cs="Arial"/>
        </w:rPr>
      </w:pPr>
      <w:r>
        <w:rPr>
          <w:rFonts w:cs="Arial"/>
        </w:rPr>
        <w:lastRenderedPageBreak/>
        <w:t xml:space="preserve">Although </w:t>
      </w:r>
      <w:r w:rsidR="001439B4">
        <w:rPr>
          <w:rFonts w:cs="Arial"/>
        </w:rPr>
        <w:t>h</w:t>
      </w:r>
      <w:r w:rsidR="002A3363">
        <w:rPr>
          <w:rFonts w:cs="Arial"/>
        </w:rPr>
        <w:t>ousing prices have</w:t>
      </w:r>
      <w:r w:rsidR="001439B4">
        <w:rPr>
          <w:rFonts w:cs="Arial"/>
        </w:rPr>
        <w:t xml:space="preserve"> </w:t>
      </w:r>
      <w:r w:rsidR="001439B4" w:rsidRPr="0046179B">
        <w:rPr>
          <w:rFonts w:cs="Arial"/>
        </w:rPr>
        <w:t>decreased by .7%</w:t>
      </w:r>
      <w:r w:rsidR="002A3363" w:rsidRPr="0046179B">
        <w:rPr>
          <w:rFonts w:cs="Arial"/>
        </w:rPr>
        <w:t xml:space="preserve"> in</w:t>
      </w:r>
      <w:r w:rsidR="002A3363">
        <w:rPr>
          <w:rFonts w:cs="Arial"/>
        </w:rPr>
        <w:t xml:space="preserve"> Brevard County</w:t>
      </w:r>
      <w:r w:rsidR="001439B4">
        <w:rPr>
          <w:rFonts w:cs="Arial"/>
        </w:rPr>
        <w:t>,</w:t>
      </w:r>
      <w:r w:rsidR="002A3363">
        <w:rPr>
          <w:rFonts w:cs="Arial"/>
        </w:rPr>
        <w:t xml:space="preserve">  </w:t>
      </w:r>
      <w:r w:rsidR="002A3363" w:rsidRPr="0046179B">
        <w:rPr>
          <w:rFonts w:cs="Arial"/>
        </w:rPr>
        <w:t xml:space="preserve">we have seen that low income families </w:t>
      </w:r>
      <w:proofErr w:type="spellStart"/>
      <w:r w:rsidR="002A3363" w:rsidRPr="0046179B">
        <w:rPr>
          <w:rFonts w:cs="Arial"/>
        </w:rPr>
        <w:t>can not</w:t>
      </w:r>
      <w:proofErr w:type="spellEnd"/>
      <w:r w:rsidR="002A3363" w:rsidRPr="0046179B">
        <w:rPr>
          <w:rFonts w:cs="Arial"/>
        </w:rPr>
        <w:t xml:space="preserve"> meet the criteria to purchase a home due to being priced</w:t>
      </w:r>
      <w:r w:rsidR="001439B4" w:rsidRPr="0046179B">
        <w:rPr>
          <w:rFonts w:cs="Arial"/>
        </w:rPr>
        <w:t xml:space="preserve"> out of their  reach</w:t>
      </w:r>
      <w:r w:rsidR="002A3363" w:rsidRPr="0046179B">
        <w:rPr>
          <w:rFonts w:cs="Arial"/>
        </w:rPr>
        <w:t xml:space="preserve">.  A reduction in affordable housing stock and increased property insurance costs have </w:t>
      </w:r>
      <w:r w:rsidRPr="0046179B">
        <w:rPr>
          <w:rFonts w:cs="Arial"/>
        </w:rPr>
        <w:t xml:space="preserve">made it very challenging to </w:t>
      </w:r>
      <w:r w:rsidR="002A3363" w:rsidRPr="0046179B">
        <w:rPr>
          <w:rFonts w:cs="Arial"/>
        </w:rPr>
        <w:t>assist first time homebuyers.</w:t>
      </w:r>
      <w:r w:rsidR="001439B4" w:rsidRPr="0046179B">
        <w:rPr>
          <w:rFonts w:cs="Arial"/>
        </w:rPr>
        <w:t xml:space="preserve"> </w:t>
      </w:r>
      <w:r w:rsidR="002D3760" w:rsidRPr="0046179B">
        <w:rPr>
          <w:rFonts w:cs="Arial"/>
        </w:rPr>
        <w:t>The Brevard Consortium has</w:t>
      </w:r>
      <w:r w:rsidR="001439B4" w:rsidRPr="0046179B">
        <w:rPr>
          <w:rFonts w:cs="Arial"/>
        </w:rPr>
        <w:t xml:space="preserve"> increased </w:t>
      </w:r>
      <w:r w:rsidR="002D3760" w:rsidRPr="0046179B">
        <w:rPr>
          <w:rFonts w:cs="Arial"/>
        </w:rPr>
        <w:t>the</w:t>
      </w:r>
      <w:r w:rsidR="001439B4" w:rsidRPr="0046179B">
        <w:rPr>
          <w:rFonts w:cs="Arial"/>
        </w:rPr>
        <w:t xml:space="preserve"> down payment assistance amounts to </w:t>
      </w:r>
      <w:r w:rsidR="002D3760" w:rsidRPr="0046179B">
        <w:rPr>
          <w:rFonts w:cs="Arial"/>
        </w:rPr>
        <w:t xml:space="preserve">be able to </w:t>
      </w:r>
      <w:r w:rsidR="001439B4" w:rsidRPr="0046179B">
        <w:rPr>
          <w:rFonts w:cs="Arial"/>
        </w:rPr>
        <w:t>assist more people.</w:t>
      </w:r>
      <w:r w:rsidR="001439B4">
        <w:rPr>
          <w:rFonts w:cs="Arial"/>
        </w:rPr>
        <w:t xml:space="preserve"> </w:t>
      </w:r>
    </w:p>
    <w:p w14:paraId="01185234" w14:textId="77777777" w:rsidR="004E7119" w:rsidRDefault="002A3363">
      <w:pPr>
        <w:widowControl w:val="0"/>
        <w:spacing w:line="204" w:lineRule="auto"/>
        <w:rPr>
          <w:b/>
          <w:sz w:val="24"/>
          <w:szCs w:val="24"/>
        </w:rPr>
      </w:pPr>
      <w:r>
        <w:rPr>
          <w:b/>
          <w:sz w:val="24"/>
          <w:szCs w:val="24"/>
        </w:rPr>
        <w:t>Discuss how these outcomes will impact future annual action plans.</w:t>
      </w:r>
    </w:p>
    <w:p w14:paraId="1D1643E0" w14:textId="77777777" w:rsidR="004E7119" w:rsidRDefault="002A3363">
      <w:pPr>
        <w:spacing w:beforeAutospacing="1" w:afterAutospacing="1"/>
        <w:rPr>
          <w:rFonts w:cs="Arial"/>
        </w:rPr>
      </w:pPr>
      <w:r>
        <w:rPr>
          <w:rFonts w:cs="Arial"/>
        </w:rPr>
        <w:t>The Consortium continues to meet regularly to look at ways to further the goals and objectives with a particular emphasis on long term, sustainable affordable housing. Recent Requests for Proposals (RFPs) have been geared towards increasing rental opportunities.</w:t>
      </w:r>
    </w:p>
    <w:p w14:paraId="7A369794" w14:textId="40586C28" w:rsidR="004E7119" w:rsidRDefault="002A3363">
      <w:pPr>
        <w:spacing w:beforeAutospacing="1" w:afterAutospacing="1"/>
        <w:rPr>
          <w:rFonts w:cs="Arial"/>
        </w:rPr>
      </w:pPr>
      <w:r>
        <w:rPr>
          <w:rFonts w:cs="Arial"/>
        </w:rPr>
        <w:t xml:space="preserve">With a rebounding local economy, housing prices and rental rates are climbing. Rental rates, especially, have priced many residents out of the market. </w:t>
      </w:r>
      <w:r w:rsidRPr="00E31132">
        <w:rPr>
          <w:rFonts w:cs="Arial"/>
        </w:rPr>
        <w:t>The Out of Reach 202</w:t>
      </w:r>
      <w:r w:rsidR="00B27D66" w:rsidRPr="00E31132">
        <w:rPr>
          <w:rFonts w:cs="Arial"/>
        </w:rPr>
        <w:t xml:space="preserve">4 </w:t>
      </w:r>
      <w:r w:rsidRPr="00E31132">
        <w:rPr>
          <w:rFonts w:cs="Arial"/>
        </w:rPr>
        <w:t>Report from the National Low Income Housing Coalition reported that an hourly wage of $</w:t>
      </w:r>
      <w:r w:rsidR="00B27D66" w:rsidRPr="00E31132">
        <w:rPr>
          <w:rFonts w:cs="Arial"/>
        </w:rPr>
        <w:t>35.24</w:t>
      </w:r>
      <w:r w:rsidRPr="00E31132">
        <w:rPr>
          <w:rFonts w:cs="Arial"/>
        </w:rPr>
        <w:t xml:space="preserve"> per hou</w:t>
      </w:r>
      <w:r w:rsidR="00D01B6C" w:rsidRPr="00E31132">
        <w:rPr>
          <w:rFonts w:cs="Arial"/>
        </w:rPr>
        <w:t xml:space="preserve">r in Florida </w:t>
      </w:r>
      <w:r w:rsidRPr="00E31132">
        <w:rPr>
          <w:rFonts w:cs="Arial"/>
        </w:rPr>
        <w:t> is required to afford a 2-bedroom unit. The estimated hourly mean renter wage (202</w:t>
      </w:r>
      <w:r w:rsidR="00B27D66" w:rsidRPr="00E31132">
        <w:rPr>
          <w:rFonts w:cs="Arial"/>
        </w:rPr>
        <w:t>4</w:t>
      </w:r>
      <w:r w:rsidRPr="00E31132">
        <w:rPr>
          <w:rFonts w:cs="Arial"/>
        </w:rPr>
        <w:t>) is $</w:t>
      </w:r>
      <w:r w:rsidR="00B27D66" w:rsidRPr="00E31132">
        <w:rPr>
          <w:rFonts w:cs="Arial"/>
        </w:rPr>
        <w:t>32.11</w:t>
      </w:r>
      <w:r w:rsidR="00D01B6C" w:rsidRPr="00E31132">
        <w:rPr>
          <w:rFonts w:cs="Arial"/>
        </w:rPr>
        <w:t xml:space="preserve"> for Brevard County</w:t>
      </w:r>
      <w:r w:rsidRPr="00E31132">
        <w:rPr>
          <w:rFonts w:cs="Arial"/>
        </w:rPr>
        <w:t>. Therefore, a household would need 1.9 full-time jobs at mean renter wage to afford a 2 bedroom at fair market rent.</w:t>
      </w:r>
      <w:r>
        <w:rPr>
          <w:rFonts w:cs="Arial"/>
        </w:rPr>
        <w:t> </w:t>
      </w:r>
    </w:p>
    <w:p w14:paraId="1B61FEBE" w14:textId="77777777" w:rsidR="004E7119" w:rsidRDefault="002A3363">
      <w:pPr>
        <w:keepNext/>
        <w:widowControl w:val="0"/>
        <w:spacing w:line="204" w:lineRule="auto"/>
        <w:rPr>
          <w:b/>
          <w:sz w:val="24"/>
          <w:szCs w:val="24"/>
        </w:rPr>
      </w:pPr>
      <w:bookmarkStart w:id="2" w:name="_Hlk182896374"/>
      <w:r>
        <w:rPr>
          <w:b/>
          <w:sz w:val="24"/>
          <w:szCs w:val="24"/>
        </w:rPr>
        <w:t>Include the number of extremely low-income, low-income, and moderate-income persons served by each activity where information on income by family size is required to determine the eligibility of the activity.</w:t>
      </w:r>
    </w:p>
    <w:p w14:paraId="19768589" w14:textId="77777777" w:rsidR="004E7119" w:rsidRDefault="004E7119">
      <w:pPr>
        <w:widowControl w:val="0"/>
        <w:spacing w:line="204" w:lineRule="auto"/>
        <w:rPr>
          <w:b/>
          <w:vanish/>
          <w:sz w:val="24"/>
          <w:szCs w:val="24"/>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081"/>
        <w:gridCol w:w="1859"/>
        <w:gridCol w:w="1890"/>
        <w:gridCol w:w="25"/>
      </w:tblGrid>
      <w:tr w:rsidR="004E7119" w14:paraId="35B1D8CB" w14:textId="77777777">
        <w:trPr>
          <w:cantSplit/>
        </w:trPr>
        <w:tc>
          <w:tcPr>
            <w:tcW w:w="4081" w:type="dxa"/>
          </w:tcPr>
          <w:p w14:paraId="72ED8952" w14:textId="77777777" w:rsidR="004E7119" w:rsidRDefault="002A3363">
            <w:pPr>
              <w:keepNext/>
              <w:widowControl w:val="0"/>
              <w:spacing w:after="0" w:line="240" w:lineRule="auto"/>
              <w:jc w:val="center"/>
              <w:rPr>
                <w:b/>
              </w:rPr>
            </w:pPr>
            <w:r>
              <w:rPr>
                <w:b/>
              </w:rPr>
              <w:t>Number  of Households Served</w:t>
            </w:r>
          </w:p>
        </w:tc>
        <w:tc>
          <w:tcPr>
            <w:tcW w:w="1859" w:type="dxa"/>
          </w:tcPr>
          <w:p w14:paraId="1DBA039B" w14:textId="77777777" w:rsidR="004E7119" w:rsidRDefault="002A3363">
            <w:pPr>
              <w:keepNext/>
              <w:widowControl w:val="0"/>
              <w:spacing w:after="0" w:line="240" w:lineRule="auto"/>
              <w:jc w:val="center"/>
              <w:rPr>
                <w:b/>
              </w:rPr>
            </w:pPr>
            <w:r>
              <w:rPr>
                <w:b/>
              </w:rPr>
              <w:t>CDBG Actual</w:t>
            </w:r>
          </w:p>
        </w:tc>
        <w:tc>
          <w:tcPr>
            <w:tcW w:w="1915" w:type="dxa"/>
            <w:gridSpan w:val="2"/>
          </w:tcPr>
          <w:p w14:paraId="04290BAF" w14:textId="77777777" w:rsidR="004E7119" w:rsidRDefault="002A3363">
            <w:pPr>
              <w:keepNext/>
              <w:widowControl w:val="0"/>
              <w:spacing w:after="0" w:line="240" w:lineRule="auto"/>
              <w:jc w:val="center"/>
              <w:rPr>
                <w:b/>
              </w:rPr>
            </w:pPr>
            <w:r>
              <w:rPr>
                <w:b/>
              </w:rPr>
              <w:t>HOME Actual</w:t>
            </w:r>
          </w:p>
        </w:tc>
      </w:tr>
      <w:tr w:rsidR="004E7119" w14:paraId="2537217A" w14:textId="77777777">
        <w:trPr>
          <w:gridAfter w:val="1"/>
          <w:wAfter w:w="25" w:type="dxa"/>
          <w:cantSplit/>
        </w:trPr>
        <w:tc>
          <w:tcPr>
            <w:tcW w:w="4081" w:type="dxa"/>
            <w:vAlign w:val="bottom"/>
          </w:tcPr>
          <w:p w14:paraId="02D6C1A3" w14:textId="77777777" w:rsidR="004E7119" w:rsidRDefault="002A3363">
            <w:pPr>
              <w:spacing w:beforeAutospacing="1" w:afterAutospacing="1"/>
            </w:pPr>
            <w:r>
              <w:rPr>
                <w:color w:val="000000"/>
              </w:rPr>
              <w:t>Extremely Low-income</w:t>
            </w:r>
          </w:p>
        </w:tc>
        <w:tc>
          <w:tcPr>
            <w:tcW w:w="1859" w:type="dxa"/>
            <w:vAlign w:val="bottom"/>
          </w:tcPr>
          <w:p w14:paraId="03CF2E2F" w14:textId="07226476" w:rsidR="004E7119" w:rsidRPr="0078433A" w:rsidRDefault="00F6547D">
            <w:pPr>
              <w:spacing w:beforeAutospacing="1" w:afterAutospacing="1"/>
              <w:jc w:val="right"/>
            </w:pPr>
            <w:r w:rsidRPr="0078433A">
              <w:rPr>
                <w:color w:val="000000"/>
              </w:rPr>
              <w:t>972</w:t>
            </w:r>
          </w:p>
        </w:tc>
        <w:tc>
          <w:tcPr>
            <w:tcW w:w="1890" w:type="dxa"/>
            <w:vAlign w:val="bottom"/>
          </w:tcPr>
          <w:p w14:paraId="3E2B7BBF" w14:textId="139A4645" w:rsidR="004E7119" w:rsidRPr="008D7F92" w:rsidRDefault="008D7F92">
            <w:pPr>
              <w:spacing w:beforeAutospacing="1" w:afterAutospacing="1"/>
              <w:jc w:val="right"/>
            </w:pPr>
            <w:r w:rsidRPr="008D7F92">
              <w:rPr>
                <w:color w:val="000000"/>
              </w:rPr>
              <w:t>6</w:t>
            </w:r>
          </w:p>
        </w:tc>
      </w:tr>
      <w:tr w:rsidR="004E7119" w14:paraId="212F0BD8" w14:textId="77777777">
        <w:trPr>
          <w:gridAfter w:val="1"/>
          <w:wAfter w:w="25" w:type="dxa"/>
          <w:cantSplit/>
        </w:trPr>
        <w:tc>
          <w:tcPr>
            <w:tcW w:w="4081" w:type="dxa"/>
            <w:vAlign w:val="bottom"/>
          </w:tcPr>
          <w:p w14:paraId="4F0BFA5E" w14:textId="77777777" w:rsidR="004E7119" w:rsidRDefault="002A3363">
            <w:pPr>
              <w:spacing w:beforeAutospacing="1" w:afterAutospacing="1"/>
            </w:pPr>
            <w:r>
              <w:rPr>
                <w:color w:val="000000"/>
              </w:rPr>
              <w:t>Low-income</w:t>
            </w:r>
          </w:p>
        </w:tc>
        <w:tc>
          <w:tcPr>
            <w:tcW w:w="1859" w:type="dxa"/>
            <w:vAlign w:val="bottom"/>
          </w:tcPr>
          <w:p w14:paraId="1990D911" w14:textId="4D74B272" w:rsidR="004E7119" w:rsidRPr="0078433A" w:rsidRDefault="00F6547D">
            <w:pPr>
              <w:spacing w:beforeAutospacing="1" w:afterAutospacing="1"/>
              <w:jc w:val="right"/>
            </w:pPr>
            <w:r w:rsidRPr="0078433A">
              <w:rPr>
                <w:color w:val="000000"/>
              </w:rPr>
              <w:t>132</w:t>
            </w:r>
          </w:p>
        </w:tc>
        <w:tc>
          <w:tcPr>
            <w:tcW w:w="1890" w:type="dxa"/>
            <w:vAlign w:val="bottom"/>
          </w:tcPr>
          <w:p w14:paraId="64E430BF" w14:textId="613E6481" w:rsidR="004E7119" w:rsidRPr="008D7F92" w:rsidRDefault="008D7F92">
            <w:pPr>
              <w:spacing w:beforeAutospacing="1" w:afterAutospacing="1"/>
              <w:jc w:val="right"/>
            </w:pPr>
            <w:r w:rsidRPr="008D7F92">
              <w:rPr>
                <w:color w:val="000000"/>
              </w:rPr>
              <w:t>6</w:t>
            </w:r>
          </w:p>
        </w:tc>
      </w:tr>
      <w:tr w:rsidR="004E7119" w14:paraId="41FBB987" w14:textId="77777777">
        <w:trPr>
          <w:gridAfter w:val="1"/>
          <w:wAfter w:w="25" w:type="dxa"/>
          <w:cantSplit/>
        </w:trPr>
        <w:tc>
          <w:tcPr>
            <w:tcW w:w="4081" w:type="dxa"/>
            <w:vAlign w:val="bottom"/>
          </w:tcPr>
          <w:p w14:paraId="24E62BFF" w14:textId="77777777" w:rsidR="004E7119" w:rsidRDefault="002A3363">
            <w:pPr>
              <w:spacing w:beforeAutospacing="1" w:afterAutospacing="1"/>
            </w:pPr>
            <w:r>
              <w:rPr>
                <w:color w:val="000000"/>
              </w:rPr>
              <w:t>Moderate-income</w:t>
            </w:r>
          </w:p>
        </w:tc>
        <w:tc>
          <w:tcPr>
            <w:tcW w:w="1859" w:type="dxa"/>
            <w:vAlign w:val="bottom"/>
          </w:tcPr>
          <w:p w14:paraId="2D3296E7" w14:textId="10EEA65E" w:rsidR="004E7119" w:rsidRPr="0078433A" w:rsidRDefault="00F6547D">
            <w:pPr>
              <w:spacing w:beforeAutospacing="1" w:afterAutospacing="1"/>
              <w:jc w:val="right"/>
            </w:pPr>
            <w:r w:rsidRPr="0078433A">
              <w:rPr>
                <w:color w:val="000000"/>
              </w:rPr>
              <w:t>199</w:t>
            </w:r>
          </w:p>
        </w:tc>
        <w:tc>
          <w:tcPr>
            <w:tcW w:w="1890" w:type="dxa"/>
            <w:vAlign w:val="bottom"/>
          </w:tcPr>
          <w:p w14:paraId="08D3D76A" w14:textId="77777777" w:rsidR="004E7119" w:rsidRPr="008D7F92" w:rsidRDefault="002A3363">
            <w:pPr>
              <w:spacing w:beforeAutospacing="1" w:afterAutospacing="1"/>
              <w:jc w:val="right"/>
            </w:pPr>
            <w:r w:rsidRPr="008D7F92">
              <w:rPr>
                <w:color w:val="000000"/>
              </w:rPr>
              <w:t>0</w:t>
            </w:r>
          </w:p>
        </w:tc>
      </w:tr>
      <w:tr w:rsidR="004E7119" w14:paraId="7427F85E" w14:textId="77777777">
        <w:trPr>
          <w:gridAfter w:val="1"/>
          <w:wAfter w:w="25" w:type="dxa"/>
          <w:cantSplit/>
        </w:trPr>
        <w:tc>
          <w:tcPr>
            <w:tcW w:w="4081" w:type="dxa"/>
            <w:vAlign w:val="bottom"/>
          </w:tcPr>
          <w:p w14:paraId="71093679" w14:textId="77777777" w:rsidR="004E7119" w:rsidRDefault="002A3363">
            <w:pPr>
              <w:spacing w:beforeAutospacing="1" w:afterAutospacing="1"/>
            </w:pPr>
            <w:r>
              <w:rPr>
                <w:b/>
                <w:color w:val="000000"/>
              </w:rPr>
              <w:t>Total</w:t>
            </w:r>
          </w:p>
        </w:tc>
        <w:tc>
          <w:tcPr>
            <w:tcW w:w="1859" w:type="dxa"/>
            <w:vAlign w:val="bottom"/>
          </w:tcPr>
          <w:p w14:paraId="097BB646" w14:textId="0C513988" w:rsidR="004E7119" w:rsidRPr="0078433A" w:rsidRDefault="00F6547D">
            <w:pPr>
              <w:spacing w:beforeAutospacing="1" w:afterAutospacing="1"/>
              <w:jc w:val="right"/>
            </w:pPr>
            <w:r w:rsidRPr="0078433A">
              <w:rPr>
                <w:b/>
                <w:color w:val="000000"/>
              </w:rPr>
              <w:t>13</w:t>
            </w:r>
            <w:r w:rsidR="00E379B2">
              <w:rPr>
                <w:b/>
                <w:color w:val="000000"/>
              </w:rPr>
              <w:t>03</w:t>
            </w:r>
          </w:p>
        </w:tc>
        <w:tc>
          <w:tcPr>
            <w:tcW w:w="1890" w:type="dxa"/>
            <w:vAlign w:val="bottom"/>
          </w:tcPr>
          <w:p w14:paraId="6A0C47B6" w14:textId="7A7085BC" w:rsidR="004E7119" w:rsidRDefault="00E31132">
            <w:pPr>
              <w:spacing w:beforeAutospacing="1" w:afterAutospacing="1"/>
              <w:jc w:val="right"/>
            </w:pPr>
            <w:r>
              <w:rPr>
                <w:b/>
                <w:color w:val="000000"/>
              </w:rPr>
              <w:t>12</w:t>
            </w:r>
          </w:p>
        </w:tc>
      </w:tr>
    </w:tbl>
    <w:p w14:paraId="3C701387" w14:textId="62404720" w:rsidR="004E7119" w:rsidRDefault="002A3363">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sidR="00A85082">
        <w:rPr>
          <w:rFonts w:asciiTheme="minorHAnsi" w:hAnsiTheme="minorHAnsi"/>
          <w:noProof/>
        </w:rPr>
        <w:t>13</w:t>
      </w:r>
      <w:r>
        <w:rPr>
          <w:rFonts w:asciiTheme="minorHAnsi" w:hAnsiTheme="minorHAnsi"/>
        </w:rPr>
        <w:fldChar w:fldCharType="end"/>
      </w:r>
      <w:r>
        <w:rPr>
          <w:rFonts w:asciiTheme="minorHAnsi" w:hAnsiTheme="minorHAnsi"/>
        </w:rPr>
        <w:t xml:space="preserve"> – Number of Households Served</w:t>
      </w:r>
    </w:p>
    <w:bookmarkEnd w:id="2"/>
    <w:p w14:paraId="3CD22E8D" w14:textId="77777777" w:rsidR="004E7119" w:rsidRDefault="004E7119">
      <w:pPr>
        <w:widowControl w:val="0"/>
        <w:spacing w:line="204" w:lineRule="auto"/>
        <w:rPr>
          <w:b/>
          <w:sz w:val="24"/>
          <w:szCs w:val="24"/>
        </w:rPr>
      </w:pPr>
    </w:p>
    <w:p w14:paraId="6650B4A8" w14:textId="77777777" w:rsidR="004E7119" w:rsidRDefault="002A3363">
      <w:pPr>
        <w:widowControl w:val="0"/>
        <w:spacing w:line="204" w:lineRule="auto"/>
        <w:rPr>
          <w:b/>
          <w:sz w:val="24"/>
          <w:szCs w:val="24"/>
        </w:rPr>
      </w:pPr>
      <w:r>
        <w:rPr>
          <w:b/>
          <w:sz w:val="24"/>
          <w:szCs w:val="24"/>
        </w:rPr>
        <w:t>Narrative Information</w:t>
      </w:r>
    </w:p>
    <w:p w14:paraId="412F7E47" w14:textId="7138FB06" w:rsidR="004E7119" w:rsidRDefault="002A3363">
      <w:pPr>
        <w:spacing w:beforeAutospacing="1" w:afterAutospacing="1"/>
        <w:rPr>
          <w:rFonts w:cs="Arial"/>
        </w:rPr>
      </w:pPr>
      <w:r>
        <w:rPr>
          <w:rFonts w:cs="Arial"/>
        </w:rPr>
        <w:t xml:space="preserve">During this fiscal year </w:t>
      </w:r>
      <w:r w:rsidRPr="00323DAF">
        <w:rPr>
          <w:rFonts w:cs="Arial"/>
        </w:rPr>
        <w:t>(202</w:t>
      </w:r>
      <w:r w:rsidR="00634D6A" w:rsidRPr="00323DAF">
        <w:rPr>
          <w:rFonts w:cs="Arial"/>
        </w:rPr>
        <w:t>3</w:t>
      </w:r>
      <w:r w:rsidRPr="00323DAF">
        <w:rPr>
          <w:rFonts w:cs="Arial"/>
        </w:rPr>
        <w:t>-202</w:t>
      </w:r>
      <w:r w:rsidR="00634D6A" w:rsidRPr="00323DAF">
        <w:rPr>
          <w:rFonts w:cs="Arial"/>
        </w:rPr>
        <w:t>4</w:t>
      </w:r>
      <w:r w:rsidRPr="00323DAF">
        <w:rPr>
          <w:rFonts w:cs="Arial"/>
        </w:rPr>
        <w:t>),</w:t>
      </w:r>
      <w:r>
        <w:rPr>
          <w:rFonts w:cs="Arial"/>
        </w:rPr>
        <w:t xml:space="preserve"> HOME Investment Partnerships Program funds were used to assist </w:t>
      </w:r>
      <w:r w:rsidR="00323DAF">
        <w:rPr>
          <w:rFonts w:cs="Arial"/>
        </w:rPr>
        <w:t>12</w:t>
      </w:r>
      <w:r>
        <w:rPr>
          <w:rFonts w:cs="Arial"/>
        </w:rPr>
        <w:t xml:space="preserve"> households at or below 80% of the Area Median Income.  Community Development Block Grant Public Services served </w:t>
      </w:r>
      <w:r w:rsidR="00E379B2">
        <w:rPr>
          <w:rFonts w:cs="Arial"/>
        </w:rPr>
        <w:t>1303</w:t>
      </w:r>
      <w:r w:rsidR="005C1603">
        <w:rPr>
          <w:rFonts w:cs="Arial"/>
        </w:rPr>
        <w:t xml:space="preserve"> </w:t>
      </w:r>
      <w:r>
        <w:rPr>
          <w:rFonts w:cs="Arial"/>
        </w:rPr>
        <w:t>households who were extremely low-income, low-income, moderate-income households</w:t>
      </w:r>
      <w:r w:rsidR="00E379B2">
        <w:rPr>
          <w:rFonts w:cs="Arial"/>
        </w:rPr>
        <w:t>.</w:t>
      </w:r>
    </w:p>
    <w:p w14:paraId="560C3D30" w14:textId="77777777" w:rsidR="004E7119" w:rsidRDefault="004E7119">
      <w:pPr>
        <w:rPr>
          <w:rFonts w:cs="Arial"/>
        </w:rPr>
      </w:pPr>
    </w:p>
    <w:p w14:paraId="2E943AA6" w14:textId="77777777" w:rsidR="004E7119" w:rsidRDefault="004E7119">
      <w:pPr>
        <w:pStyle w:val="Heading2"/>
        <w:pageBreakBefore/>
        <w:rPr>
          <w:rFonts w:ascii="Calibri" w:hAnsi="Calibri"/>
          <w:i w:val="0"/>
        </w:rPr>
        <w:sectPr w:rsidR="004E7119">
          <w:pgSz w:w="12240" w:h="15840" w:code="1"/>
          <w:pgMar w:top="1440" w:right="1440" w:bottom="1440" w:left="1440" w:header="720" w:footer="720" w:gutter="0"/>
          <w:cols w:space="720"/>
          <w:docGrid w:linePitch="360"/>
        </w:sectPr>
      </w:pPr>
    </w:p>
    <w:bookmarkEnd w:id="1"/>
    <w:p w14:paraId="079AAE7A" w14:textId="77777777" w:rsidR="004E7119" w:rsidRDefault="002A3363">
      <w:pPr>
        <w:pStyle w:val="Heading2"/>
        <w:pageBreakBefore/>
        <w:widowControl w:val="0"/>
        <w:rPr>
          <w:rFonts w:ascii="Calibri" w:hAnsi="Calibri"/>
          <w:i w:val="0"/>
        </w:rPr>
      </w:pPr>
      <w:r>
        <w:rPr>
          <w:rFonts w:ascii="Calibri" w:hAnsi="Calibri"/>
          <w:i w:val="0"/>
        </w:rPr>
        <w:lastRenderedPageBreak/>
        <w:t>CR-25 - Homeless and Other Special Needs 91.220(d, e); 91.320(d, e); 91.520(c)</w:t>
      </w:r>
    </w:p>
    <w:p w14:paraId="54242C53" w14:textId="77777777" w:rsidR="004E7119" w:rsidRDefault="002A3363">
      <w:pPr>
        <w:keepNext/>
        <w:widowControl w:val="0"/>
        <w:rPr>
          <w:b/>
          <w:sz w:val="24"/>
          <w:szCs w:val="24"/>
        </w:rPr>
      </w:pPr>
      <w:r>
        <w:rPr>
          <w:b/>
          <w:sz w:val="24"/>
          <w:szCs w:val="24"/>
        </w:rPr>
        <w:t>Evaluate the jurisdiction’s progress in meeting its specific objectives for reducing and ending homelessness through:</w:t>
      </w:r>
    </w:p>
    <w:p w14:paraId="0AC55A3A" w14:textId="77777777" w:rsidR="004E7119" w:rsidRDefault="002A3363">
      <w:pPr>
        <w:widowControl w:val="0"/>
        <w:rPr>
          <w:b/>
          <w:sz w:val="24"/>
          <w:szCs w:val="24"/>
        </w:rPr>
      </w:pPr>
      <w:r>
        <w:rPr>
          <w:b/>
          <w:sz w:val="24"/>
          <w:szCs w:val="24"/>
        </w:rPr>
        <w:t>Reaching out to homeless persons (especially unsheltered persons) and assessing their individual needs</w:t>
      </w:r>
    </w:p>
    <w:p w14:paraId="256C9242" w14:textId="77777777" w:rsidR="00D95796" w:rsidRDefault="008A0076" w:rsidP="008A0076">
      <w:r w:rsidRPr="0078433A">
        <w:rPr>
          <w:rFonts w:cs="Arial"/>
        </w:rPr>
        <w:t xml:space="preserve">Members of the Consortium serve on the Brevard Homeless Coalition (BHC) Board of Directors as well as the Continuum of Care’s governing body and therefore have a voice in decision-making processes and procedures. </w:t>
      </w:r>
      <w:r w:rsidRPr="0078433A">
        <w:t xml:space="preserve">The BHC-led Coordinated Entry (CE) System is comprised of a hybrid between a “multi-site centralized access” and an “assessment hotline” approach ensuring that the entry points provide maximum access in a structured, consistent, and person-focused process for the client and the service provider. In this approach, 211 Brevard operates as a central access point through their resource helpline and the lead role in overseeing the homeless verification process ensuring homeless residents are verified and scheduled through electronic calendaring for intake/assessment appointments at fixed community-based access points. </w:t>
      </w:r>
    </w:p>
    <w:p w14:paraId="3F81A1A2" w14:textId="540D8322" w:rsidR="008A0076" w:rsidRPr="005B1E6E" w:rsidRDefault="008A0076" w:rsidP="008A0076">
      <w:r w:rsidRPr="0078433A">
        <w:t>The BHC funds two (2) staff positions at 211 Brevard to implement these tasks. The fixed community-based access points, strategically located throughout the County, have direct referral lines to Coordinated Entry through the Homeless Management Information System (HMIS). Street Outreach is also a component of the CE System through CoC-funded and community volunteer Street Outreach Workers who connect with unsheltered residents where they are at; for example, in wooded encampments and vehicles. Both funded and volunteer Street Outreach Workers are trained by the BHC. The Street Outreach Workers conduct homeless verification and can schedule intake/assessment appointments on the spot. The CE System flow process, including homeless verification, has been integrated with HMIS to ensure the CoC serves the intended population.</w:t>
      </w:r>
      <w:r w:rsidRPr="005B1E6E">
        <w:t xml:space="preserve"> </w:t>
      </w:r>
    </w:p>
    <w:p w14:paraId="6C2AB5C8" w14:textId="77777777" w:rsidR="004E7119" w:rsidRDefault="002A3363">
      <w:pPr>
        <w:widowControl w:val="0"/>
        <w:rPr>
          <w:b/>
          <w:sz w:val="24"/>
          <w:szCs w:val="24"/>
        </w:rPr>
      </w:pPr>
      <w:r>
        <w:rPr>
          <w:b/>
          <w:sz w:val="24"/>
          <w:szCs w:val="24"/>
        </w:rPr>
        <w:t>Addressing the emergency shelter and transitional housing needs of homeless persons</w:t>
      </w:r>
    </w:p>
    <w:p w14:paraId="3D8CA04F" w14:textId="127A4334" w:rsidR="004E7119" w:rsidRPr="00636196" w:rsidRDefault="002A3363">
      <w:pPr>
        <w:widowControl w:val="0"/>
        <w:spacing w:beforeAutospacing="1" w:afterAutospacing="1"/>
        <w:rPr>
          <w:rFonts w:cs="Arial"/>
        </w:rPr>
      </w:pPr>
      <w:r w:rsidRPr="00636196">
        <w:rPr>
          <w:rFonts w:cs="Arial"/>
        </w:rPr>
        <w:t>The United States Department of Housing and Urban Development and the Florida State Office on Homelessness funds are Housing First permanent housing focused.</w:t>
      </w:r>
      <w:r w:rsidR="008A0076" w:rsidRPr="00636196">
        <w:rPr>
          <w:rFonts w:cs="Arial"/>
        </w:rPr>
        <w:t xml:space="preserve"> </w:t>
      </w:r>
    </w:p>
    <w:p w14:paraId="56EECAD8" w14:textId="0063C2C4" w:rsidR="004E7119" w:rsidRDefault="002A3363">
      <w:pPr>
        <w:widowControl w:val="0"/>
        <w:spacing w:beforeAutospacing="1" w:afterAutospacing="1"/>
        <w:rPr>
          <w:rFonts w:cs="Arial"/>
        </w:rPr>
      </w:pPr>
      <w:r w:rsidRPr="00636196">
        <w:rPr>
          <w:rFonts w:cs="Arial"/>
        </w:rPr>
        <w:t xml:space="preserve">The Consortium provides funding opportunities, promotes collaboration and partnership with local social services, community based, and faith based </w:t>
      </w:r>
      <w:proofErr w:type="spellStart"/>
      <w:r w:rsidRPr="00636196">
        <w:rPr>
          <w:rFonts w:cs="Arial"/>
        </w:rPr>
        <w:t>organzations</w:t>
      </w:r>
      <w:proofErr w:type="spellEnd"/>
      <w:r w:rsidRPr="00636196">
        <w:rPr>
          <w:rFonts w:cs="Arial"/>
        </w:rPr>
        <w:t xml:space="preserve"> that address the needs of the homeless. The Consortium members have utilized ERA</w:t>
      </w:r>
      <w:r w:rsidR="00970347">
        <w:rPr>
          <w:rFonts w:cs="Arial"/>
        </w:rPr>
        <w:t xml:space="preserve"> and CDBG-CV</w:t>
      </w:r>
      <w:r w:rsidRPr="00636196">
        <w:rPr>
          <w:rFonts w:cs="Arial"/>
        </w:rPr>
        <w:t xml:space="preserve"> funding to assist homeowners and tenants affected by the pandemic. This assistance prevented evictions and foreclosures, helping to eliminate adding to our homeless population.</w:t>
      </w:r>
      <w:r w:rsidR="008A0076">
        <w:rPr>
          <w:rFonts w:cs="Arial"/>
        </w:rPr>
        <w:t xml:space="preserve"> </w:t>
      </w:r>
    </w:p>
    <w:p w14:paraId="5EF08AA0" w14:textId="33B45DDD" w:rsidR="004E7739" w:rsidRDefault="004E7739">
      <w:pPr>
        <w:widowControl w:val="0"/>
        <w:spacing w:beforeAutospacing="1" w:afterAutospacing="1"/>
        <w:rPr>
          <w:rFonts w:cs="Arial"/>
        </w:rPr>
      </w:pPr>
      <w:r w:rsidRPr="004E7739">
        <w:rPr>
          <w:rFonts w:cs="Arial"/>
        </w:rPr>
        <w:t xml:space="preserve">The City of Cocoa </w:t>
      </w:r>
      <w:r w:rsidR="00B95547">
        <w:rPr>
          <w:rFonts w:cs="Arial"/>
        </w:rPr>
        <w:t>added</w:t>
      </w:r>
      <w:r w:rsidRPr="004E7739">
        <w:rPr>
          <w:rFonts w:cs="Arial"/>
        </w:rPr>
        <w:t xml:space="preserve"> a total of six rentals available as transitional housing. The city partnered with Space Coast Recovery to provide a transitional recovery housing program. This program will assist not only with sobriety treatments, and wrap around services to help  them attain permanent housing.  </w:t>
      </w:r>
    </w:p>
    <w:p w14:paraId="735ABB88" w14:textId="319849F5" w:rsidR="004E7119" w:rsidRPr="004E7739" w:rsidRDefault="002A3363">
      <w:pPr>
        <w:widowControl w:val="0"/>
        <w:spacing w:beforeAutospacing="1" w:afterAutospacing="1"/>
        <w:rPr>
          <w:rFonts w:cs="Arial"/>
        </w:rPr>
      </w:pPr>
      <w:r w:rsidRPr="004E7739">
        <w:rPr>
          <w:rFonts w:cs="Arial"/>
        </w:rPr>
        <w:lastRenderedPageBreak/>
        <w:t>The City of Melbourne provides $50,000 a year for a case manager employee with a non-profit agency that focuses on addressing the needs of</w:t>
      </w:r>
      <w:r w:rsidR="00BD65DA">
        <w:rPr>
          <w:rFonts w:cs="Arial"/>
        </w:rPr>
        <w:t xml:space="preserve"> the</w:t>
      </w:r>
      <w:r w:rsidRPr="004E7739">
        <w:rPr>
          <w:rFonts w:cs="Arial"/>
        </w:rPr>
        <w:t xml:space="preserve"> homeless within the City of Melbourne. The case manager customizes services to the individuals, such as mental health and substance abuse services, independent living skills, and vocational services.</w:t>
      </w:r>
    </w:p>
    <w:p w14:paraId="7AD94EE2" w14:textId="77777777" w:rsidR="004E7119" w:rsidRDefault="002A3363">
      <w:pPr>
        <w:widowControl w:val="0"/>
        <w:spacing w:beforeAutospacing="1" w:afterAutospacing="1"/>
        <w:rPr>
          <w:rFonts w:cs="Arial"/>
        </w:rPr>
      </w:pPr>
      <w:r w:rsidRPr="004E7739">
        <w:rPr>
          <w:rFonts w:cs="Arial"/>
        </w:rPr>
        <w:t>Brevard County and the City of Palm Bay utilized American Rescue Plan Act (ARPA) funds to address the needs of the homeless and those at risk of homelessness, working with local non-profit agencies such as Community of Hope, Family Promise, Catholic Charities, Housing for Homeless, Habitat for Humanity and Helps Community Initiative.</w:t>
      </w:r>
    </w:p>
    <w:p w14:paraId="7DB42551" w14:textId="77777777" w:rsidR="004E7119" w:rsidRDefault="002A3363">
      <w:pPr>
        <w:widowControl w:val="0"/>
        <w:rPr>
          <w:b/>
          <w:sz w:val="24"/>
          <w:szCs w:val="24"/>
        </w:rPr>
      </w:pPr>
      <w:r>
        <w:rPr>
          <w:b/>
          <w:sz w:val="24"/>
          <w:szCs w:val="24"/>
        </w:rPr>
        <w:t>Helping low-income individuals and families avoid becoming homeless, especially extremely low-income individuals and families and those who are:  likely to become homeless after being discharged from publicly funded institutions and systems of care (such as health care facilities, mental health facilities, foster care and other youth facilities, and corrections programs and institutions);  and,  receiving assistance from public or private agencies that address housing, health, social services, employment, education, or youth needs</w:t>
      </w:r>
    </w:p>
    <w:p w14:paraId="1DB14E7C" w14:textId="473EC7DA" w:rsidR="002658A0" w:rsidRPr="002658A0" w:rsidRDefault="002658A0" w:rsidP="002658A0">
      <w:pPr>
        <w:rPr>
          <w:b/>
          <w:bCs/>
        </w:rPr>
      </w:pPr>
      <w:r w:rsidRPr="00636196">
        <w:t xml:space="preserve">The BHC has close working and/or contractual relationships with providers of physical health, mental/behavioral health, employment support, educational support for adults and children, assistance to youth and young adults aging out of the foster care system, and assistance in accessing appropriate benefits. Many of these partnerships include SOAR-certified providers and are collaborative in matters of discharge planning and provisioning. The BHC has also </w:t>
      </w:r>
      <w:proofErr w:type="gramStart"/>
      <w:r w:rsidRPr="00636196">
        <w:t>entered into</w:t>
      </w:r>
      <w:proofErr w:type="gramEnd"/>
      <w:r w:rsidRPr="00636196">
        <w:t xml:space="preserve"> a contractual partnership with Circles of Care, the County’s Crisis Stabilization facility and provider of behavioral health services, to conduct homeless verification and entry of clients into the CE System. The BHC is actively working with Health First and Parrish Medical Center to map resource assets available to case managers within the hospitals to enhance and better discharge planning results. The following funding allocations table below represents FY 2023-2024 for a total of $1,999,322.27</w:t>
      </w:r>
      <w:r w:rsidRPr="00636196">
        <w:rPr>
          <w:b/>
          <w:bCs/>
        </w:rPr>
        <w:t xml:space="preserve">.  </w:t>
      </w:r>
    </w:p>
    <w:tbl>
      <w:tblPr>
        <w:tblStyle w:val="TableGrid"/>
        <w:tblW w:w="0" w:type="auto"/>
        <w:jc w:val="center"/>
        <w:tblInd w:w="0" w:type="dxa"/>
        <w:tblLook w:val="04A0" w:firstRow="1" w:lastRow="0" w:firstColumn="1" w:lastColumn="0" w:noHBand="0" w:noVBand="1"/>
      </w:tblPr>
      <w:tblGrid>
        <w:gridCol w:w="3325"/>
        <w:gridCol w:w="1800"/>
      </w:tblGrid>
      <w:tr w:rsidR="002658A0" w:rsidRPr="004479BD" w14:paraId="313B3329" w14:textId="77777777" w:rsidTr="00561A80">
        <w:trPr>
          <w:trHeight w:val="548"/>
          <w:jc w:val="center"/>
        </w:trPr>
        <w:tc>
          <w:tcPr>
            <w:tcW w:w="3325" w:type="dxa"/>
          </w:tcPr>
          <w:p w14:paraId="361CB933" w14:textId="77777777" w:rsidR="002658A0" w:rsidRPr="00636196" w:rsidRDefault="002658A0" w:rsidP="009F0BF7">
            <w:r w:rsidRPr="00636196">
              <w:t>Permanent &amp; Permanent Supportive Housing</w:t>
            </w:r>
          </w:p>
        </w:tc>
        <w:tc>
          <w:tcPr>
            <w:tcW w:w="1800" w:type="dxa"/>
          </w:tcPr>
          <w:p w14:paraId="06F99E51" w14:textId="77777777" w:rsidR="002658A0" w:rsidRPr="00636196" w:rsidRDefault="002658A0" w:rsidP="009F0BF7">
            <w:r w:rsidRPr="00636196">
              <w:rPr>
                <w:sz w:val="24"/>
                <w:szCs w:val="24"/>
              </w:rPr>
              <w:t>$251,529.47</w:t>
            </w:r>
          </w:p>
        </w:tc>
      </w:tr>
      <w:tr w:rsidR="002658A0" w:rsidRPr="004479BD" w14:paraId="6D8E29C0" w14:textId="77777777" w:rsidTr="003A0228">
        <w:trPr>
          <w:jc w:val="center"/>
        </w:trPr>
        <w:tc>
          <w:tcPr>
            <w:tcW w:w="3325" w:type="dxa"/>
          </w:tcPr>
          <w:p w14:paraId="47268C67" w14:textId="77777777" w:rsidR="002658A0" w:rsidRPr="00636196" w:rsidRDefault="002658A0" w:rsidP="009F0BF7">
            <w:r w:rsidRPr="00636196">
              <w:t>Transitional Housing</w:t>
            </w:r>
          </w:p>
        </w:tc>
        <w:tc>
          <w:tcPr>
            <w:tcW w:w="1800" w:type="dxa"/>
          </w:tcPr>
          <w:p w14:paraId="2CE52376" w14:textId="77777777" w:rsidR="002658A0" w:rsidRPr="00636196" w:rsidRDefault="002658A0" w:rsidP="009F0BF7">
            <w:r w:rsidRPr="00636196">
              <w:rPr>
                <w:sz w:val="24"/>
                <w:szCs w:val="24"/>
              </w:rPr>
              <w:t>$0.00</w:t>
            </w:r>
          </w:p>
        </w:tc>
      </w:tr>
      <w:tr w:rsidR="002658A0" w:rsidRPr="004479BD" w14:paraId="5393F699" w14:textId="77777777" w:rsidTr="003A0228">
        <w:trPr>
          <w:jc w:val="center"/>
        </w:trPr>
        <w:tc>
          <w:tcPr>
            <w:tcW w:w="3325" w:type="dxa"/>
          </w:tcPr>
          <w:p w14:paraId="01E49A53" w14:textId="77777777" w:rsidR="002658A0" w:rsidRPr="00636196" w:rsidRDefault="002658A0" w:rsidP="009F0BF7">
            <w:r w:rsidRPr="00636196">
              <w:t xml:space="preserve">TANF </w:t>
            </w:r>
            <w:r w:rsidRPr="00636196">
              <w:tab/>
            </w:r>
          </w:p>
        </w:tc>
        <w:tc>
          <w:tcPr>
            <w:tcW w:w="1800" w:type="dxa"/>
          </w:tcPr>
          <w:p w14:paraId="3A010119" w14:textId="77777777" w:rsidR="002658A0" w:rsidRPr="00636196" w:rsidRDefault="002658A0" w:rsidP="009F0BF7">
            <w:r w:rsidRPr="00636196">
              <w:rPr>
                <w:sz w:val="24"/>
                <w:szCs w:val="24"/>
              </w:rPr>
              <w:t>$32,250.00</w:t>
            </w:r>
          </w:p>
        </w:tc>
      </w:tr>
      <w:tr w:rsidR="002658A0" w:rsidRPr="004479BD" w14:paraId="2DD5378B" w14:textId="77777777" w:rsidTr="003A0228">
        <w:trPr>
          <w:jc w:val="center"/>
        </w:trPr>
        <w:tc>
          <w:tcPr>
            <w:tcW w:w="3325" w:type="dxa"/>
          </w:tcPr>
          <w:p w14:paraId="6E68263E" w14:textId="77777777" w:rsidR="002658A0" w:rsidRPr="00636196" w:rsidRDefault="002658A0" w:rsidP="009F0BF7">
            <w:r w:rsidRPr="00636196">
              <w:t>ESG</w:t>
            </w:r>
          </w:p>
        </w:tc>
        <w:tc>
          <w:tcPr>
            <w:tcW w:w="1800" w:type="dxa"/>
          </w:tcPr>
          <w:p w14:paraId="2C90107C" w14:textId="77777777" w:rsidR="002658A0" w:rsidRPr="00636196" w:rsidRDefault="002658A0" w:rsidP="009F0BF7">
            <w:r w:rsidRPr="00636196">
              <w:rPr>
                <w:sz w:val="24"/>
                <w:szCs w:val="24"/>
              </w:rPr>
              <w:t>$277,248.97</w:t>
            </w:r>
          </w:p>
        </w:tc>
      </w:tr>
      <w:tr w:rsidR="002658A0" w:rsidRPr="004479BD" w14:paraId="0A5B1A2B" w14:textId="77777777" w:rsidTr="003A0228">
        <w:trPr>
          <w:jc w:val="center"/>
        </w:trPr>
        <w:tc>
          <w:tcPr>
            <w:tcW w:w="3325" w:type="dxa"/>
          </w:tcPr>
          <w:p w14:paraId="67C0A8CF" w14:textId="77777777" w:rsidR="002658A0" w:rsidRPr="00636196" w:rsidRDefault="002658A0" w:rsidP="009F0BF7">
            <w:r w:rsidRPr="00636196">
              <w:t>ESG CV</w:t>
            </w:r>
          </w:p>
        </w:tc>
        <w:tc>
          <w:tcPr>
            <w:tcW w:w="1800" w:type="dxa"/>
          </w:tcPr>
          <w:p w14:paraId="6518FAD1" w14:textId="77777777" w:rsidR="002658A0" w:rsidRPr="00636196" w:rsidRDefault="002658A0" w:rsidP="009F0BF7">
            <w:r w:rsidRPr="00636196">
              <w:rPr>
                <w:sz w:val="24"/>
                <w:szCs w:val="24"/>
              </w:rPr>
              <w:t>$210,384.45</w:t>
            </w:r>
          </w:p>
        </w:tc>
      </w:tr>
      <w:tr w:rsidR="002658A0" w:rsidRPr="004479BD" w14:paraId="5ABC0D47" w14:textId="77777777" w:rsidTr="003A0228">
        <w:trPr>
          <w:jc w:val="center"/>
        </w:trPr>
        <w:tc>
          <w:tcPr>
            <w:tcW w:w="3325" w:type="dxa"/>
          </w:tcPr>
          <w:p w14:paraId="640788DC" w14:textId="77777777" w:rsidR="002658A0" w:rsidRPr="00636196" w:rsidRDefault="002658A0" w:rsidP="009F0BF7">
            <w:r w:rsidRPr="00636196">
              <w:t>ESG RUSH</w:t>
            </w:r>
          </w:p>
        </w:tc>
        <w:tc>
          <w:tcPr>
            <w:tcW w:w="1800" w:type="dxa"/>
          </w:tcPr>
          <w:p w14:paraId="101A4454" w14:textId="77777777" w:rsidR="002658A0" w:rsidRPr="00636196" w:rsidRDefault="002658A0" w:rsidP="009F0BF7">
            <w:r w:rsidRPr="00636196">
              <w:rPr>
                <w:sz w:val="24"/>
                <w:szCs w:val="24"/>
              </w:rPr>
              <w:t>$108,281.00</w:t>
            </w:r>
          </w:p>
        </w:tc>
      </w:tr>
      <w:tr w:rsidR="002658A0" w:rsidRPr="004479BD" w14:paraId="5B718B00" w14:textId="77777777" w:rsidTr="003A0228">
        <w:trPr>
          <w:jc w:val="center"/>
        </w:trPr>
        <w:tc>
          <w:tcPr>
            <w:tcW w:w="3325" w:type="dxa"/>
          </w:tcPr>
          <w:p w14:paraId="7B56308F" w14:textId="77777777" w:rsidR="002658A0" w:rsidRPr="00636196" w:rsidRDefault="002658A0" w:rsidP="009F0BF7">
            <w:r w:rsidRPr="00636196">
              <w:t>HMIS</w:t>
            </w:r>
          </w:p>
        </w:tc>
        <w:tc>
          <w:tcPr>
            <w:tcW w:w="1800" w:type="dxa"/>
          </w:tcPr>
          <w:p w14:paraId="3491E100" w14:textId="77777777" w:rsidR="002658A0" w:rsidRPr="00636196" w:rsidRDefault="002658A0" w:rsidP="009F0BF7">
            <w:r w:rsidRPr="00636196">
              <w:rPr>
                <w:sz w:val="24"/>
                <w:szCs w:val="24"/>
              </w:rPr>
              <w:t>$71,455.00</w:t>
            </w:r>
          </w:p>
        </w:tc>
      </w:tr>
      <w:tr w:rsidR="002658A0" w:rsidRPr="004479BD" w14:paraId="3B58A5C3" w14:textId="77777777" w:rsidTr="003A0228">
        <w:trPr>
          <w:jc w:val="center"/>
        </w:trPr>
        <w:tc>
          <w:tcPr>
            <w:tcW w:w="3325" w:type="dxa"/>
          </w:tcPr>
          <w:p w14:paraId="2DEE5C36" w14:textId="77777777" w:rsidR="002658A0" w:rsidRPr="00636196" w:rsidRDefault="002658A0" w:rsidP="009F0BF7">
            <w:r w:rsidRPr="00636196">
              <w:lastRenderedPageBreak/>
              <w:t>Coordinated Entry</w:t>
            </w:r>
          </w:p>
        </w:tc>
        <w:tc>
          <w:tcPr>
            <w:tcW w:w="1800" w:type="dxa"/>
          </w:tcPr>
          <w:p w14:paraId="2C545BF6" w14:textId="77777777" w:rsidR="002658A0" w:rsidRPr="00636196" w:rsidRDefault="002658A0" w:rsidP="009F0BF7">
            <w:r w:rsidRPr="00636196">
              <w:rPr>
                <w:sz w:val="24"/>
                <w:szCs w:val="24"/>
              </w:rPr>
              <w:t>$71,785.00</w:t>
            </w:r>
          </w:p>
        </w:tc>
      </w:tr>
      <w:tr w:rsidR="002658A0" w:rsidRPr="004479BD" w14:paraId="1F5DDAD7" w14:textId="77777777" w:rsidTr="003A0228">
        <w:trPr>
          <w:jc w:val="center"/>
        </w:trPr>
        <w:tc>
          <w:tcPr>
            <w:tcW w:w="3325" w:type="dxa"/>
          </w:tcPr>
          <w:p w14:paraId="52DC08EC" w14:textId="77777777" w:rsidR="002658A0" w:rsidRPr="00636196" w:rsidRDefault="002658A0" w:rsidP="009F0BF7">
            <w:r w:rsidRPr="00636196">
              <w:t>Challenge</w:t>
            </w:r>
          </w:p>
        </w:tc>
        <w:tc>
          <w:tcPr>
            <w:tcW w:w="1800" w:type="dxa"/>
          </w:tcPr>
          <w:p w14:paraId="5E4F32D4" w14:textId="77777777" w:rsidR="002658A0" w:rsidRPr="00636196" w:rsidRDefault="002658A0" w:rsidP="009F0BF7">
            <w:r w:rsidRPr="00636196">
              <w:rPr>
                <w:sz w:val="24"/>
                <w:szCs w:val="24"/>
              </w:rPr>
              <w:t>$250,185.76</w:t>
            </w:r>
          </w:p>
        </w:tc>
      </w:tr>
      <w:tr w:rsidR="002658A0" w:rsidRPr="004479BD" w14:paraId="1FF9709E" w14:textId="77777777" w:rsidTr="003A0228">
        <w:trPr>
          <w:jc w:val="center"/>
        </w:trPr>
        <w:tc>
          <w:tcPr>
            <w:tcW w:w="3325" w:type="dxa"/>
          </w:tcPr>
          <w:p w14:paraId="6EA12C31" w14:textId="77777777" w:rsidR="002658A0" w:rsidRPr="00636196" w:rsidRDefault="002658A0" w:rsidP="009F0BF7">
            <w:r w:rsidRPr="00636196">
              <w:t>Challenge Plus</w:t>
            </w:r>
          </w:p>
        </w:tc>
        <w:tc>
          <w:tcPr>
            <w:tcW w:w="1800" w:type="dxa"/>
          </w:tcPr>
          <w:p w14:paraId="38293595" w14:textId="77777777" w:rsidR="002658A0" w:rsidRPr="00636196" w:rsidRDefault="002658A0" w:rsidP="009F0BF7">
            <w:r w:rsidRPr="00636196">
              <w:rPr>
                <w:sz w:val="24"/>
                <w:szCs w:val="24"/>
              </w:rPr>
              <w:t>$487,794.30</w:t>
            </w:r>
          </w:p>
        </w:tc>
      </w:tr>
      <w:tr w:rsidR="002658A0" w:rsidRPr="004479BD" w14:paraId="33B50AE8" w14:textId="77777777" w:rsidTr="003A0228">
        <w:trPr>
          <w:jc w:val="center"/>
        </w:trPr>
        <w:tc>
          <w:tcPr>
            <w:tcW w:w="3325" w:type="dxa"/>
          </w:tcPr>
          <w:p w14:paraId="3F622EEC" w14:textId="77777777" w:rsidR="002658A0" w:rsidRPr="00636196" w:rsidRDefault="002658A0" w:rsidP="009F0BF7">
            <w:r w:rsidRPr="00636196">
              <w:t>Planning</w:t>
            </w:r>
          </w:p>
        </w:tc>
        <w:tc>
          <w:tcPr>
            <w:tcW w:w="1800" w:type="dxa"/>
          </w:tcPr>
          <w:p w14:paraId="34AEDF30" w14:textId="77777777" w:rsidR="002658A0" w:rsidRPr="00636196" w:rsidRDefault="002658A0" w:rsidP="009F0BF7">
            <w:r w:rsidRPr="00636196">
              <w:rPr>
                <w:sz w:val="24"/>
                <w:szCs w:val="24"/>
              </w:rPr>
              <w:t>$52,513.47</w:t>
            </w:r>
          </w:p>
        </w:tc>
      </w:tr>
      <w:tr w:rsidR="002658A0" w:rsidRPr="004479BD" w14:paraId="4FF8E1DD" w14:textId="77777777" w:rsidTr="003A0228">
        <w:trPr>
          <w:jc w:val="center"/>
        </w:trPr>
        <w:tc>
          <w:tcPr>
            <w:tcW w:w="3325" w:type="dxa"/>
          </w:tcPr>
          <w:p w14:paraId="43703149" w14:textId="77777777" w:rsidR="002658A0" w:rsidRPr="00636196" w:rsidRDefault="002658A0" w:rsidP="009F0BF7">
            <w:r w:rsidRPr="00636196">
              <w:t>Staffing</w:t>
            </w:r>
          </w:p>
        </w:tc>
        <w:tc>
          <w:tcPr>
            <w:tcW w:w="1800" w:type="dxa"/>
          </w:tcPr>
          <w:p w14:paraId="421F908A" w14:textId="77777777" w:rsidR="002658A0" w:rsidRPr="00636196" w:rsidRDefault="002658A0" w:rsidP="009F0BF7">
            <w:r w:rsidRPr="00636196">
              <w:rPr>
                <w:sz w:val="24"/>
                <w:szCs w:val="24"/>
              </w:rPr>
              <w:t>$185,894.85</w:t>
            </w:r>
          </w:p>
        </w:tc>
      </w:tr>
    </w:tbl>
    <w:p w14:paraId="782159ED" w14:textId="179212AD" w:rsidR="004E7119" w:rsidRDefault="002A3363">
      <w:pPr>
        <w:widowControl w:val="0"/>
        <w:spacing w:beforeAutospacing="1" w:afterAutospacing="1"/>
        <w:rPr>
          <w:rFonts w:cs="Arial"/>
        </w:rPr>
      </w:pPr>
      <w:r w:rsidRPr="00E930C1">
        <w:rPr>
          <w:rFonts w:cs="Arial"/>
        </w:rPr>
        <w:t xml:space="preserve">Many social services organizations receive funding through the Consortium’s Request </w:t>
      </w:r>
      <w:proofErr w:type="gramStart"/>
      <w:r w:rsidRPr="00E930C1">
        <w:rPr>
          <w:rFonts w:cs="Arial"/>
        </w:rPr>
        <w:t>For</w:t>
      </w:r>
      <w:proofErr w:type="gramEnd"/>
      <w:r w:rsidRPr="00E930C1">
        <w:rPr>
          <w:rFonts w:cs="Arial"/>
        </w:rPr>
        <w:t xml:space="preserve"> Proposal processes to address homeless prevention for many very low and low income individuals. Majority of the time, this funding addresses the needs of our most vulnerable populations.</w:t>
      </w:r>
      <w:r w:rsidR="00BA0D0D">
        <w:rPr>
          <w:rFonts w:cs="Arial"/>
        </w:rPr>
        <w:t xml:space="preserve"> </w:t>
      </w:r>
    </w:p>
    <w:p w14:paraId="3283D256" w14:textId="77777777" w:rsidR="004E7119" w:rsidRDefault="002A3363">
      <w:pPr>
        <w:widowControl w:val="0"/>
        <w:spacing w:beforeAutospacing="1" w:afterAutospacing="1"/>
        <w:rPr>
          <w:rFonts w:cs="Arial"/>
        </w:rPr>
      </w:pPr>
      <w:r w:rsidRPr="00E930C1">
        <w:rPr>
          <w:rFonts w:cs="Arial"/>
        </w:rPr>
        <w:t>Some tenants and homeowners with disabilities lack the financial resources to pay for a modification to their unit. The City of Titusville provided persons with disabilities the opportunity to have home modifications completed to their present living facility. Such modifications include: the installation of ramps for wheelchair accessibility, roll-in shower conversions, grab bars, roll under counter space in the kitchens, the widening of doorways, the lowering of light switches, and installation of alert systems.</w:t>
      </w:r>
      <w:r>
        <w:rPr>
          <w:rFonts w:cs="Arial"/>
        </w:rPr>
        <w:t> </w:t>
      </w:r>
    </w:p>
    <w:p w14:paraId="0628F3C1" w14:textId="77777777" w:rsidR="004E7119" w:rsidRDefault="002A3363">
      <w:pPr>
        <w:widowControl w:val="0"/>
        <w:rPr>
          <w:b/>
          <w:sz w:val="24"/>
          <w:szCs w:val="24"/>
        </w:rPr>
      </w:pPr>
      <w:r>
        <w:rPr>
          <w:b/>
          <w:sz w:val="24"/>
          <w:szCs w:val="24"/>
        </w:rPr>
        <w:t>Helping homeless persons (especially chronically homeless individuals and families, families with children, veterans and their families, and unaccompanied youth) make the transition to permanent housing and independent living, including shortening the period of time that individuals and families experience homelessness, facilitating access for homeless individuals and families to affordable housing units, and preventing individuals and families who were recently homeless from becoming homeless again</w:t>
      </w:r>
    </w:p>
    <w:p w14:paraId="319A6FD2" w14:textId="77777777" w:rsidR="00BA0D0D" w:rsidRPr="0087484E" w:rsidRDefault="00BA0D0D" w:rsidP="00BA0D0D">
      <w:r w:rsidRPr="0087484E">
        <w:t xml:space="preserve">The BHC-led CE System process represents a low barrier, client focused </w:t>
      </w:r>
      <w:r w:rsidRPr="0087484E">
        <w:rPr>
          <w:i/>
          <w:iCs/>
        </w:rPr>
        <w:t>Housing First</w:t>
      </w:r>
      <w:r w:rsidRPr="0087484E">
        <w:t xml:space="preserve"> approach with partner agencies. Outreach, Assessment, Emergency Shelter Programs, Transitional Housing, Financial Assistance, Prevention, Rapid Re-housing, and Permanent Supportive Housing services are provided to chronically homeless people, families, unaccompanied youth, veterans, as well as victims of domestic violence and human trafficking </w:t>
      </w:r>
      <w:proofErr w:type="gramStart"/>
      <w:r w:rsidRPr="0087484E">
        <w:t>on the basis of</w:t>
      </w:r>
      <w:proofErr w:type="gramEnd"/>
      <w:r w:rsidRPr="0087484E">
        <w:t xml:space="preserve"> acuity and prioritization. All HUD and Florida State Office on Homelessness funds are permanent housing focused and are provided while utilizing a </w:t>
      </w:r>
      <w:r w:rsidRPr="0087484E">
        <w:rPr>
          <w:i/>
          <w:iCs/>
        </w:rPr>
        <w:t>Housing First</w:t>
      </w:r>
      <w:r w:rsidRPr="0087484E">
        <w:t xml:space="preserve"> approach.</w:t>
      </w:r>
    </w:p>
    <w:p w14:paraId="1BAFA82B" w14:textId="3CD34A78" w:rsidR="00F32BA1" w:rsidRPr="0087484E" w:rsidRDefault="00F32BA1" w:rsidP="00BA0D0D">
      <w:r w:rsidRPr="0087484E">
        <w:t xml:space="preserve">The BHC funds two (2) staff positions at 211 Brevard to implement these tasks. The fixed community-based access points, strategically located throughout the County, have direct referral lines to Coordinated Entry through the Homeless Management Information System (HMIS). Street Outreach is also a component of the CE System through CoC-funded and community volunteer Street Outreach Workers who connect with unsheltered residents where they are at; for example, in wooded encampments and vehicles. Both funded and volunteer Street Outreach Workers are trained by the BHC. The Street Outreach Workers conduct homeless verification and can schedule intake/assessment </w:t>
      </w:r>
      <w:r w:rsidRPr="0087484E">
        <w:lastRenderedPageBreak/>
        <w:t>appointments on the spot. The CE System flow process, including homeless verification, has been integrated with HMIS to ensure the CoC serves the intended population.</w:t>
      </w:r>
    </w:p>
    <w:p w14:paraId="0CC09CD1" w14:textId="77777777" w:rsidR="00BA0D0D" w:rsidRPr="003465DD" w:rsidRDefault="00BA0D0D" w:rsidP="00BA0D0D">
      <w:r w:rsidRPr="0087484E">
        <w:t xml:space="preserve">The BHC annually submits an Exhibit 1 in response to the HUD Notification of Funding Opportunity (NOFO) for CoC Homeless Housing Assistance Programs, part of the McKinney-Vento Homeless Assistance Act. The BHC’s strategic planning statement was modeled on the 2021 U.S. Interagency Council on Homelessness adopted plan “Opening Doors,” and implementation occurs through the Brevard CoC 2023-26 Strategic Plan </w:t>
      </w:r>
      <w:r w:rsidRPr="0087484E">
        <w:rPr>
          <w:i/>
          <w:iCs/>
        </w:rPr>
        <w:t>Housed &amp; Healthy Brevard</w:t>
      </w:r>
      <w:r w:rsidRPr="0087484E">
        <w:t>.</w:t>
      </w:r>
      <w:r w:rsidRPr="003465DD">
        <w:t xml:space="preserve"> </w:t>
      </w:r>
    </w:p>
    <w:p w14:paraId="01E8F2C7" w14:textId="77777777" w:rsidR="004E7119" w:rsidRDefault="004E7119">
      <w:pPr>
        <w:widowControl w:val="0"/>
        <w:rPr>
          <w:rFonts w:cs="Arial"/>
          <w:szCs w:val="26"/>
        </w:rPr>
      </w:pPr>
    </w:p>
    <w:p w14:paraId="60B65C83" w14:textId="77777777" w:rsidR="004E7119" w:rsidRDefault="002A3363">
      <w:pPr>
        <w:pStyle w:val="Heading2"/>
        <w:pageBreakBefore/>
        <w:widowControl w:val="0"/>
        <w:rPr>
          <w:rFonts w:ascii="Calibri" w:hAnsi="Calibri"/>
          <w:i w:val="0"/>
        </w:rPr>
      </w:pPr>
      <w:r>
        <w:rPr>
          <w:rFonts w:ascii="Calibri" w:hAnsi="Calibri"/>
          <w:i w:val="0"/>
        </w:rPr>
        <w:lastRenderedPageBreak/>
        <w:t>CR-30 - Public Housing 91.220(h); 91.320(j)</w:t>
      </w:r>
    </w:p>
    <w:p w14:paraId="4F07EB7A" w14:textId="77777777" w:rsidR="004E7119" w:rsidRDefault="002A3363">
      <w:pPr>
        <w:keepNext/>
        <w:widowControl w:val="0"/>
        <w:rPr>
          <w:b/>
          <w:sz w:val="24"/>
          <w:szCs w:val="24"/>
        </w:rPr>
      </w:pPr>
      <w:r>
        <w:rPr>
          <w:b/>
          <w:sz w:val="24"/>
          <w:szCs w:val="24"/>
        </w:rPr>
        <w:t>Actions taken to address the needs of public housing</w:t>
      </w:r>
    </w:p>
    <w:p w14:paraId="7BEE4CF6" w14:textId="74316AB3" w:rsidR="00DE24AC" w:rsidRPr="00DE24AC" w:rsidRDefault="00DE24AC">
      <w:pPr>
        <w:keepNext/>
        <w:widowControl w:val="0"/>
        <w:rPr>
          <w:bCs/>
          <w:sz w:val="24"/>
          <w:szCs w:val="24"/>
        </w:rPr>
      </w:pPr>
      <w:r w:rsidRPr="00FB07D0">
        <w:rPr>
          <w:bCs/>
          <w:sz w:val="24"/>
          <w:szCs w:val="24"/>
        </w:rPr>
        <w:t>Cocoa Housing Authority has one HUD program remaining</w:t>
      </w:r>
      <w:r w:rsidR="00CE3708">
        <w:rPr>
          <w:bCs/>
          <w:sz w:val="24"/>
          <w:szCs w:val="24"/>
        </w:rPr>
        <w:t>,</w:t>
      </w:r>
      <w:r w:rsidRPr="00FB07D0">
        <w:rPr>
          <w:bCs/>
          <w:sz w:val="24"/>
          <w:szCs w:val="24"/>
        </w:rPr>
        <w:t xml:space="preserve"> their Housing Choice Voucher program, that provides 223 vouchers.</w:t>
      </w:r>
      <w:r w:rsidR="00E33743" w:rsidRPr="00FB07D0">
        <w:rPr>
          <w:bCs/>
          <w:sz w:val="24"/>
          <w:szCs w:val="24"/>
        </w:rPr>
        <w:t xml:space="preserve"> </w:t>
      </w:r>
      <w:r w:rsidR="00707122" w:rsidRPr="00FB07D0">
        <w:rPr>
          <w:bCs/>
          <w:sz w:val="24"/>
          <w:szCs w:val="24"/>
        </w:rPr>
        <w:t>Although the Housing Authority of Titusville has a</w:t>
      </w:r>
      <w:r w:rsidR="00AF1848" w:rsidRPr="00FB07D0">
        <w:rPr>
          <w:bCs/>
          <w:sz w:val="24"/>
          <w:szCs w:val="24"/>
        </w:rPr>
        <w:t xml:space="preserve"> current</w:t>
      </w:r>
      <w:r w:rsidR="00707122" w:rsidRPr="00FB07D0">
        <w:rPr>
          <w:bCs/>
          <w:sz w:val="24"/>
          <w:szCs w:val="24"/>
        </w:rPr>
        <w:t xml:space="preserve"> wait list, they are addressing diverse housing needs through a variety of vouchers, including Emergency Housing vouchers, NED vouchers and HUD VASH vouchers. They were also awarded a 3 year grant that supports their elderly residents of Titusville Towers so the residents can maintain their independence and age in place.</w:t>
      </w:r>
      <w:r w:rsidR="00E33743" w:rsidRPr="00FB07D0">
        <w:rPr>
          <w:bCs/>
          <w:sz w:val="24"/>
          <w:szCs w:val="24"/>
        </w:rPr>
        <w:t xml:space="preserve"> The Housing Authority of Brevard County has shifted to a voucher-based system</w:t>
      </w:r>
      <w:r w:rsidR="00AA700F" w:rsidRPr="00FB07D0">
        <w:rPr>
          <w:bCs/>
          <w:sz w:val="24"/>
          <w:szCs w:val="24"/>
        </w:rPr>
        <w:t>. Currently they do not have plans to construct new units due to the high cost of construction.</w:t>
      </w:r>
    </w:p>
    <w:p w14:paraId="256734DA" w14:textId="77777777" w:rsidR="004E7119" w:rsidRDefault="002A3363">
      <w:pPr>
        <w:widowControl w:val="0"/>
        <w:rPr>
          <w:b/>
          <w:sz w:val="24"/>
          <w:szCs w:val="24"/>
        </w:rPr>
      </w:pPr>
      <w:r>
        <w:rPr>
          <w:b/>
          <w:sz w:val="24"/>
          <w:szCs w:val="24"/>
        </w:rPr>
        <w:t>Actions taken to encourage public housing residents to become more involved in management and participate in homeownership</w:t>
      </w:r>
    </w:p>
    <w:p w14:paraId="03636704" w14:textId="2C5F0982" w:rsidR="004E7119" w:rsidRPr="00CE3708" w:rsidRDefault="002A3363">
      <w:pPr>
        <w:widowControl w:val="0"/>
        <w:spacing w:beforeAutospacing="1" w:afterAutospacing="1"/>
        <w:rPr>
          <w:rFonts w:cs="Arial"/>
          <w:sz w:val="24"/>
          <w:szCs w:val="24"/>
        </w:rPr>
      </w:pPr>
      <w:r w:rsidRPr="00CE3708">
        <w:rPr>
          <w:rFonts w:cs="Arial"/>
          <w:sz w:val="24"/>
          <w:szCs w:val="24"/>
        </w:rPr>
        <w:t>Brevard County attends the community programs in the areas where public housing units exist. Information is disseminated in reference to our Purchase Assistance Program.</w:t>
      </w:r>
    </w:p>
    <w:p w14:paraId="1773B370" w14:textId="77777777" w:rsidR="004E7119" w:rsidRDefault="002A3363">
      <w:pPr>
        <w:widowControl w:val="0"/>
        <w:rPr>
          <w:b/>
          <w:sz w:val="24"/>
          <w:szCs w:val="24"/>
        </w:rPr>
      </w:pPr>
      <w:r>
        <w:rPr>
          <w:b/>
          <w:sz w:val="24"/>
          <w:szCs w:val="24"/>
        </w:rPr>
        <w:t xml:space="preserve">Actions taken to </w:t>
      </w:r>
      <w:proofErr w:type="gramStart"/>
      <w:r>
        <w:rPr>
          <w:b/>
          <w:sz w:val="24"/>
          <w:szCs w:val="24"/>
        </w:rPr>
        <w:t>provide assistance to</w:t>
      </w:r>
      <w:proofErr w:type="gramEnd"/>
      <w:r>
        <w:rPr>
          <w:b/>
          <w:sz w:val="24"/>
          <w:szCs w:val="24"/>
        </w:rPr>
        <w:t xml:space="preserve"> troubled PHAs</w:t>
      </w:r>
    </w:p>
    <w:p w14:paraId="3A164822" w14:textId="422B798C" w:rsidR="002E7F4C" w:rsidRPr="00705A88" w:rsidRDefault="00AA6E30" w:rsidP="0017149C">
      <w:pPr>
        <w:widowControl w:val="0"/>
        <w:rPr>
          <w:noProof/>
          <w:sz w:val="24"/>
          <w:szCs w:val="24"/>
        </w:rPr>
      </w:pPr>
      <w:r w:rsidRPr="00705A88">
        <w:rPr>
          <w:bCs/>
          <w:sz w:val="24"/>
          <w:szCs w:val="24"/>
        </w:rPr>
        <w:t xml:space="preserve">Brevard County reached out to all three of the PHA’s regarding their </w:t>
      </w:r>
      <w:proofErr w:type="gramStart"/>
      <w:r w:rsidRPr="00705A88">
        <w:rPr>
          <w:bCs/>
          <w:sz w:val="24"/>
          <w:szCs w:val="24"/>
        </w:rPr>
        <w:t>current status</w:t>
      </w:r>
      <w:proofErr w:type="gramEnd"/>
      <w:r w:rsidRPr="00705A88">
        <w:rPr>
          <w:bCs/>
          <w:sz w:val="24"/>
          <w:szCs w:val="24"/>
        </w:rPr>
        <w:t xml:space="preserve">. Cocoa Housing Authority reported they do not have a troubled status. The Housing Authority of the City of Titusville reported </w:t>
      </w:r>
      <w:r w:rsidR="0035636E" w:rsidRPr="00705A88">
        <w:rPr>
          <w:bCs/>
          <w:sz w:val="24"/>
          <w:szCs w:val="24"/>
        </w:rPr>
        <w:t>they do not have a troubled</w:t>
      </w:r>
      <w:r w:rsidRPr="00705A88">
        <w:rPr>
          <w:bCs/>
          <w:sz w:val="24"/>
          <w:szCs w:val="24"/>
        </w:rPr>
        <w:t xml:space="preserve"> status</w:t>
      </w:r>
      <w:r w:rsidR="0035636E" w:rsidRPr="00705A88">
        <w:rPr>
          <w:bCs/>
          <w:sz w:val="24"/>
          <w:szCs w:val="24"/>
        </w:rPr>
        <w:t xml:space="preserve"> as well</w:t>
      </w:r>
      <w:r w:rsidRPr="00705A88">
        <w:rPr>
          <w:bCs/>
          <w:sz w:val="24"/>
          <w:szCs w:val="24"/>
        </w:rPr>
        <w:t>. The Housing Authority of Brevard County</w:t>
      </w:r>
      <w:r w:rsidR="00FB07D0" w:rsidRPr="00705A88">
        <w:rPr>
          <w:bCs/>
          <w:sz w:val="24"/>
          <w:szCs w:val="24"/>
        </w:rPr>
        <w:t xml:space="preserve"> is still reporting a troubled status through 20</w:t>
      </w:r>
      <w:bookmarkStart w:id="3" w:name="_Hlk156909429"/>
      <w:r w:rsidR="00EA084B" w:rsidRPr="00705A88">
        <w:rPr>
          <w:bCs/>
          <w:sz w:val="24"/>
          <w:szCs w:val="24"/>
        </w:rPr>
        <w:t>24</w:t>
      </w:r>
      <w:r w:rsidR="002E7F4C" w:rsidRPr="00705A88">
        <w:rPr>
          <w:rStyle w:val="Hyperlink"/>
          <w:color w:val="auto"/>
          <w:sz w:val="24"/>
          <w:szCs w:val="24"/>
          <w:u w:val="none"/>
        </w:rPr>
        <w:t xml:space="preserve"> due to not submitting audits to HUD timely. They are currently working to correct this</w:t>
      </w:r>
      <w:r w:rsidR="00500A7D" w:rsidRPr="00705A88">
        <w:rPr>
          <w:rStyle w:val="Hyperlink"/>
          <w:color w:val="auto"/>
          <w:sz w:val="24"/>
          <w:szCs w:val="24"/>
          <w:u w:val="none"/>
        </w:rPr>
        <w:t xml:space="preserve"> and anticipate being scored the first quarter of 2025</w:t>
      </w:r>
      <w:r w:rsidR="002E7F4C" w:rsidRPr="00705A88">
        <w:rPr>
          <w:rStyle w:val="Hyperlink"/>
          <w:color w:val="auto"/>
          <w:sz w:val="24"/>
          <w:szCs w:val="24"/>
          <w:u w:val="none"/>
        </w:rPr>
        <w:t xml:space="preserve">. </w:t>
      </w:r>
    </w:p>
    <w:bookmarkEnd w:id="3"/>
    <w:p w14:paraId="368BDB4D" w14:textId="77777777" w:rsidR="004E7119" w:rsidRDefault="002A3363">
      <w:pPr>
        <w:pStyle w:val="Heading2"/>
        <w:pageBreakBefore/>
        <w:widowControl w:val="0"/>
        <w:rPr>
          <w:rFonts w:ascii="Calibri" w:hAnsi="Calibri"/>
          <w:i w:val="0"/>
        </w:rPr>
      </w:pPr>
      <w:r>
        <w:rPr>
          <w:rFonts w:ascii="Calibri" w:hAnsi="Calibri"/>
          <w:i w:val="0"/>
        </w:rPr>
        <w:lastRenderedPageBreak/>
        <w:t>CR-35 - Other Actions 91.220(j)-(k); 91.320(i)-(j)</w:t>
      </w:r>
    </w:p>
    <w:p w14:paraId="2E68F716" w14:textId="77777777" w:rsidR="004E7119" w:rsidRDefault="002A3363">
      <w:pPr>
        <w:widowControl w:val="0"/>
        <w:rPr>
          <w:b/>
          <w:sz w:val="24"/>
          <w:szCs w:val="24"/>
        </w:rPr>
      </w:pPr>
      <w:r>
        <w:rPr>
          <w:b/>
          <w:sz w:val="24"/>
          <w:szCs w:val="24"/>
        </w:rPr>
        <w:t xml:space="preserve">Actions taken to remove </w:t>
      </w:r>
      <w:r w:rsidRPr="009E077F">
        <w:rPr>
          <w:b/>
          <w:sz w:val="24"/>
          <w:szCs w:val="24"/>
        </w:rPr>
        <w:t>or ameliorate the negative</w:t>
      </w:r>
      <w:r>
        <w:rPr>
          <w:b/>
          <w:sz w:val="24"/>
          <w:szCs w:val="24"/>
        </w:rPr>
        <w:t xml:space="preserve"> effects of public policies that serve as barriers to affordable housing such as land use controls, tax policies affecting land, zoning ordinances, building codes, fees and charges, growth limitations, and policies affecting the return on residential investment. 91.220 (j); 91.320 (i)</w:t>
      </w:r>
    </w:p>
    <w:p w14:paraId="0BDBBFDE" w14:textId="77777777" w:rsidR="004E7119" w:rsidRDefault="002A3363">
      <w:pPr>
        <w:widowControl w:val="0"/>
        <w:spacing w:beforeAutospacing="1" w:afterAutospacing="1"/>
        <w:rPr>
          <w:rFonts w:cs="Arial"/>
        </w:rPr>
      </w:pPr>
      <w:r>
        <w:rPr>
          <w:rFonts w:cs="Arial"/>
        </w:rPr>
        <w:t>The Consortium members have both individually and collectively taken actions to address barriers to affordable housing. These include:</w:t>
      </w:r>
    </w:p>
    <w:p w14:paraId="085C55F5" w14:textId="77777777" w:rsidR="004E7119" w:rsidRDefault="002A3363">
      <w:pPr>
        <w:widowControl w:val="0"/>
        <w:numPr>
          <w:ilvl w:val="0"/>
          <w:numId w:val="3"/>
        </w:numPr>
        <w:spacing w:beforeAutospacing="1" w:afterAutospacing="1"/>
        <w:rPr>
          <w:rFonts w:cs="Arial"/>
        </w:rPr>
      </w:pPr>
      <w:r>
        <w:rPr>
          <w:rFonts w:cs="Arial"/>
        </w:rPr>
        <w:t>implementation of the housing assistance programs outlined in the Action Plan, which will create new housing opportunities and improve access to housing for low income persons</w:t>
      </w:r>
    </w:p>
    <w:p w14:paraId="595A5538" w14:textId="77777777" w:rsidR="004E7119" w:rsidRDefault="002A3363">
      <w:pPr>
        <w:widowControl w:val="0"/>
        <w:numPr>
          <w:ilvl w:val="0"/>
          <w:numId w:val="3"/>
        </w:numPr>
        <w:spacing w:beforeAutospacing="1" w:afterAutospacing="1"/>
        <w:rPr>
          <w:rFonts w:cs="Arial"/>
        </w:rPr>
      </w:pPr>
      <w:r>
        <w:rPr>
          <w:rFonts w:cs="Arial"/>
        </w:rPr>
        <w:t>continuation of neighborhood revitalization activities, such as infrastructure improvement</w:t>
      </w:r>
    </w:p>
    <w:p w14:paraId="79842E8A" w14:textId="77777777" w:rsidR="004E7119" w:rsidRDefault="002A3363">
      <w:pPr>
        <w:widowControl w:val="0"/>
        <w:numPr>
          <w:ilvl w:val="0"/>
          <w:numId w:val="3"/>
        </w:numPr>
        <w:spacing w:beforeAutospacing="1" w:afterAutospacing="1"/>
        <w:rPr>
          <w:rFonts w:cs="Arial"/>
        </w:rPr>
      </w:pPr>
      <w:r>
        <w:rPr>
          <w:rFonts w:cs="Arial"/>
        </w:rPr>
        <w:t>continued review and management of municipal-owned properties that are suitable for housing and set-aside for future infill housing units</w:t>
      </w:r>
    </w:p>
    <w:p w14:paraId="5EFA653C" w14:textId="77777777" w:rsidR="004E7119" w:rsidRDefault="002A3363">
      <w:pPr>
        <w:widowControl w:val="0"/>
        <w:numPr>
          <w:ilvl w:val="0"/>
          <w:numId w:val="3"/>
        </w:numPr>
        <w:spacing w:beforeAutospacing="1" w:afterAutospacing="1"/>
        <w:rPr>
          <w:rFonts w:cs="Arial"/>
        </w:rPr>
      </w:pPr>
      <w:r>
        <w:rPr>
          <w:rFonts w:cs="Arial"/>
        </w:rPr>
        <w:t>continued participation and on-going review with local planning departments to update the Comprehensive Plan and/or Housing Element</w:t>
      </w:r>
    </w:p>
    <w:p w14:paraId="2F02AFD1" w14:textId="2D81D3DE" w:rsidR="007441C5" w:rsidRPr="009E077F" w:rsidRDefault="007441C5">
      <w:pPr>
        <w:widowControl w:val="0"/>
        <w:numPr>
          <w:ilvl w:val="0"/>
          <w:numId w:val="3"/>
        </w:numPr>
        <w:spacing w:beforeAutospacing="1" w:afterAutospacing="1"/>
        <w:rPr>
          <w:rFonts w:cs="Arial"/>
        </w:rPr>
      </w:pPr>
      <w:r w:rsidRPr="009E077F">
        <w:rPr>
          <w:rFonts w:cs="Arial"/>
        </w:rPr>
        <w:t>Purchase assistance policies updated to provide more down payment assistance to help low income applicants purchase a home with ARPA funds</w:t>
      </w:r>
      <w:r w:rsidR="00F506F9" w:rsidRPr="009E077F">
        <w:rPr>
          <w:rFonts w:cs="Arial"/>
        </w:rPr>
        <w:t xml:space="preserve"> </w:t>
      </w:r>
    </w:p>
    <w:p w14:paraId="470A8770" w14:textId="77777777" w:rsidR="004E7119" w:rsidRDefault="002A3363">
      <w:pPr>
        <w:widowControl w:val="0"/>
        <w:numPr>
          <w:ilvl w:val="0"/>
          <w:numId w:val="3"/>
        </w:numPr>
        <w:spacing w:beforeAutospacing="1" w:afterAutospacing="1"/>
        <w:rPr>
          <w:rFonts w:cs="Arial"/>
        </w:rPr>
      </w:pPr>
      <w:r>
        <w:rPr>
          <w:rFonts w:cs="Arial"/>
        </w:rPr>
        <w:t>implementation of incentive strategies (required by the State Housing Initiatives Partnership)</w:t>
      </w:r>
    </w:p>
    <w:p w14:paraId="20308D9B" w14:textId="77777777" w:rsidR="004E7119" w:rsidRDefault="002A3363">
      <w:pPr>
        <w:widowControl w:val="0"/>
        <w:numPr>
          <w:ilvl w:val="0"/>
          <w:numId w:val="3"/>
        </w:numPr>
        <w:spacing w:beforeAutospacing="1" w:afterAutospacing="1"/>
        <w:rPr>
          <w:rFonts w:cs="Arial"/>
        </w:rPr>
      </w:pPr>
      <w:r>
        <w:rPr>
          <w:rFonts w:cs="Arial"/>
        </w:rPr>
        <w:t>creation of a new "Steps to Assistance" letter explaining issues that would make a homeowner ineligible for the rehab program </w:t>
      </w:r>
    </w:p>
    <w:p w14:paraId="01B53B9E" w14:textId="77777777" w:rsidR="004E7119" w:rsidRDefault="002A3363">
      <w:pPr>
        <w:widowControl w:val="0"/>
        <w:numPr>
          <w:ilvl w:val="0"/>
          <w:numId w:val="3"/>
        </w:numPr>
        <w:spacing w:beforeAutospacing="1" w:afterAutospacing="1"/>
        <w:rPr>
          <w:rFonts w:cs="Arial"/>
        </w:rPr>
      </w:pPr>
      <w:r>
        <w:rPr>
          <w:rFonts w:cs="Arial"/>
        </w:rPr>
        <w:t>provide opportunities for homeowners in the target area of Titusville to have their properties identified on the national registry for historical homes; adding value to the home and maintaining much needed housing stock </w:t>
      </w:r>
    </w:p>
    <w:p w14:paraId="0820634D" w14:textId="77777777" w:rsidR="004E7119" w:rsidRDefault="002A3363">
      <w:pPr>
        <w:widowControl w:val="0"/>
        <w:rPr>
          <w:b/>
          <w:sz w:val="24"/>
          <w:szCs w:val="24"/>
        </w:rPr>
      </w:pPr>
      <w:r>
        <w:rPr>
          <w:b/>
          <w:sz w:val="24"/>
          <w:szCs w:val="24"/>
        </w:rPr>
        <w:t>Actions taken to address obstacles to meeting underserved needs.  91.220(k); 91.320(j)</w:t>
      </w:r>
    </w:p>
    <w:p w14:paraId="5D8E34E6" w14:textId="77777777" w:rsidR="004E7119" w:rsidRDefault="002A3363">
      <w:pPr>
        <w:widowControl w:val="0"/>
        <w:spacing w:beforeAutospacing="1" w:afterAutospacing="1"/>
        <w:rPr>
          <w:rFonts w:cs="Arial"/>
        </w:rPr>
      </w:pPr>
      <w:r>
        <w:rPr>
          <w:rFonts w:cs="Arial"/>
        </w:rPr>
        <w:t xml:space="preserve">Inadequate resources </w:t>
      </w:r>
      <w:proofErr w:type="gramStart"/>
      <w:r>
        <w:rPr>
          <w:rFonts w:cs="Arial"/>
        </w:rPr>
        <w:t>is</w:t>
      </w:r>
      <w:proofErr w:type="gramEnd"/>
      <w:r>
        <w:rPr>
          <w:rFonts w:cs="Arial"/>
        </w:rPr>
        <w:t xml:space="preserve"> a chief obstacle to meeting underserved needs, both financial and human. The Consortium continues to collaborate with social service agencies and other governmental programs to identify potential resources to meet underserved needs. These efforts include:</w:t>
      </w:r>
    </w:p>
    <w:p w14:paraId="339030AD" w14:textId="77777777" w:rsidR="004E7119" w:rsidRDefault="002A3363">
      <w:pPr>
        <w:widowControl w:val="0"/>
        <w:numPr>
          <w:ilvl w:val="0"/>
          <w:numId w:val="3"/>
        </w:numPr>
        <w:spacing w:beforeAutospacing="1" w:afterAutospacing="1"/>
        <w:rPr>
          <w:rFonts w:cs="Arial"/>
        </w:rPr>
      </w:pPr>
      <w:r>
        <w:rPr>
          <w:rFonts w:cs="Arial"/>
        </w:rPr>
        <w:t>ongoing participation with the Brevard Homeless Coalition </w:t>
      </w:r>
    </w:p>
    <w:p w14:paraId="3DA81D83" w14:textId="77777777" w:rsidR="004E7119" w:rsidRDefault="002A3363">
      <w:pPr>
        <w:widowControl w:val="0"/>
        <w:numPr>
          <w:ilvl w:val="0"/>
          <w:numId w:val="3"/>
        </w:numPr>
        <w:spacing w:beforeAutospacing="1" w:afterAutospacing="1"/>
        <w:rPr>
          <w:rFonts w:cs="Arial"/>
        </w:rPr>
      </w:pPr>
      <w:r>
        <w:rPr>
          <w:rFonts w:cs="Arial"/>
        </w:rPr>
        <w:t>utilization of state resources for both owner-occupied and rental units</w:t>
      </w:r>
    </w:p>
    <w:p w14:paraId="7580FB0F" w14:textId="77777777" w:rsidR="004E7119" w:rsidRDefault="002A3363">
      <w:pPr>
        <w:widowControl w:val="0"/>
        <w:numPr>
          <w:ilvl w:val="0"/>
          <w:numId w:val="3"/>
        </w:numPr>
        <w:spacing w:beforeAutospacing="1" w:afterAutospacing="1"/>
        <w:rPr>
          <w:rFonts w:cs="Arial"/>
        </w:rPr>
      </w:pPr>
      <w:r>
        <w:rPr>
          <w:rFonts w:cs="Arial"/>
        </w:rPr>
        <w:t>awarding a variety of social service providers with public service funding, and</w:t>
      </w:r>
    </w:p>
    <w:p w14:paraId="702C71CC" w14:textId="77777777" w:rsidR="004E7119" w:rsidRDefault="002A3363">
      <w:pPr>
        <w:widowControl w:val="0"/>
        <w:numPr>
          <w:ilvl w:val="0"/>
          <w:numId w:val="3"/>
        </w:numPr>
        <w:spacing w:beforeAutospacing="1" w:afterAutospacing="1"/>
        <w:rPr>
          <w:rFonts w:cs="Arial"/>
        </w:rPr>
      </w:pPr>
      <w:r>
        <w:rPr>
          <w:rFonts w:cs="Arial"/>
        </w:rPr>
        <w:t>participating in several community sponsored events to promote affordable housing and local social service programs/summer camp</w:t>
      </w:r>
    </w:p>
    <w:p w14:paraId="741688FB" w14:textId="7E17F64D" w:rsidR="004E7119" w:rsidRPr="00D5072D" w:rsidRDefault="002A3363">
      <w:pPr>
        <w:widowControl w:val="0"/>
        <w:numPr>
          <w:ilvl w:val="0"/>
          <w:numId w:val="3"/>
        </w:numPr>
        <w:spacing w:beforeAutospacing="1" w:afterAutospacing="1"/>
        <w:rPr>
          <w:rFonts w:cs="Arial"/>
        </w:rPr>
      </w:pPr>
      <w:r w:rsidRPr="00D5072D">
        <w:rPr>
          <w:rFonts w:cs="Arial"/>
        </w:rPr>
        <w:t>funding the salary of a case manager who addresses the underserved</w:t>
      </w:r>
      <w:r w:rsidR="00113720" w:rsidRPr="00D5072D">
        <w:rPr>
          <w:rFonts w:cs="Arial"/>
        </w:rPr>
        <w:t xml:space="preserve"> </w:t>
      </w:r>
    </w:p>
    <w:p w14:paraId="1F91F85A" w14:textId="77777777" w:rsidR="004E7119" w:rsidRPr="00D5072D" w:rsidRDefault="002A3363">
      <w:pPr>
        <w:widowControl w:val="0"/>
        <w:numPr>
          <w:ilvl w:val="0"/>
          <w:numId w:val="3"/>
        </w:numPr>
        <w:spacing w:beforeAutospacing="1" w:afterAutospacing="1"/>
        <w:rPr>
          <w:rFonts w:cs="Arial"/>
        </w:rPr>
      </w:pPr>
      <w:r w:rsidRPr="00D5072D">
        <w:rPr>
          <w:rFonts w:cs="Arial"/>
        </w:rPr>
        <w:t>provide temporary monthly rent assistance with adults who are either elderly or disabled</w:t>
      </w:r>
    </w:p>
    <w:p w14:paraId="3DF14F37" w14:textId="47820E3D" w:rsidR="004E7119" w:rsidRPr="00D5072D" w:rsidRDefault="002A3363">
      <w:pPr>
        <w:widowControl w:val="0"/>
        <w:numPr>
          <w:ilvl w:val="0"/>
          <w:numId w:val="3"/>
        </w:numPr>
        <w:spacing w:beforeAutospacing="1" w:afterAutospacing="1"/>
        <w:rPr>
          <w:rFonts w:cs="Arial"/>
        </w:rPr>
      </w:pPr>
      <w:r w:rsidRPr="00D5072D">
        <w:rPr>
          <w:rFonts w:cs="Arial"/>
        </w:rPr>
        <w:t xml:space="preserve">implement programs to assist those </w:t>
      </w:r>
      <w:r w:rsidR="00D5072D" w:rsidRPr="00D5072D">
        <w:rPr>
          <w:rFonts w:cs="Arial"/>
        </w:rPr>
        <w:t xml:space="preserve">who continue to be </w:t>
      </w:r>
      <w:r w:rsidRPr="00D5072D">
        <w:rPr>
          <w:rFonts w:cs="Arial"/>
        </w:rPr>
        <w:t>impacted by the COVID-19 pandemic to provide rental and homeownership assistance</w:t>
      </w:r>
      <w:r w:rsidR="005C1603" w:rsidRPr="00D5072D">
        <w:rPr>
          <w:rFonts w:cs="Arial"/>
        </w:rPr>
        <w:t xml:space="preserve"> </w:t>
      </w:r>
    </w:p>
    <w:p w14:paraId="6D78C57F" w14:textId="77777777" w:rsidR="004E7119" w:rsidRDefault="002A3363">
      <w:pPr>
        <w:widowControl w:val="0"/>
        <w:numPr>
          <w:ilvl w:val="0"/>
          <w:numId w:val="3"/>
        </w:numPr>
        <w:spacing w:beforeAutospacing="1" w:afterAutospacing="1"/>
        <w:rPr>
          <w:rFonts w:cs="Arial"/>
        </w:rPr>
      </w:pPr>
      <w:r>
        <w:rPr>
          <w:rFonts w:cs="Arial"/>
        </w:rPr>
        <w:t xml:space="preserve">continued communication with local community groups/leaders representing underserved </w:t>
      </w:r>
      <w:r>
        <w:rPr>
          <w:rFonts w:cs="Arial"/>
        </w:rPr>
        <w:lastRenderedPageBreak/>
        <w:t>populations within our County</w:t>
      </w:r>
    </w:p>
    <w:p w14:paraId="4D3D9524" w14:textId="77777777" w:rsidR="004E7119" w:rsidRDefault="002A3363">
      <w:pPr>
        <w:widowControl w:val="0"/>
        <w:numPr>
          <w:ilvl w:val="0"/>
          <w:numId w:val="3"/>
        </w:numPr>
        <w:spacing w:beforeAutospacing="1" w:afterAutospacing="1"/>
        <w:rPr>
          <w:rFonts w:cs="Arial"/>
        </w:rPr>
      </w:pPr>
      <w:r>
        <w:rPr>
          <w:rFonts w:cs="Arial"/>
        </w:rPr>
        <w:t>continue to work with Elevate Brevard to assist residents with opportunities for employment and training</w:t>
      </w:r>
    </w:p>
    <w:p w14:paraId="4E8F7798" w14:textId="44C33C2A" w:rsidR="004E7119" w:rsidRPr="00AA47A6" w:rsidRDefault="002A3363">
      <w:pPr>
        <w:widowControl w:val="0"/>
        <w:spacing w:beforeAutospacing="1" w:afterAutospacing="1"/>
        <w:rPr>
          <w:rFonts w:cs="Arial"/>
        </w:rPr>
      </w:pPr>
      <w:r>
        <w:rPr>
          <w:rFonts w:cs="Arial"/>
        </w:rPr>
        <w:t xml:space="preserve">The County's Veteran's Services Team  provided client claims assistance in more than </w:t>
      </w:r>
      <w:r w:rsidR="00F44C1B">
        <w:rPr>
          <w:rFonts w:cs="Arial"/>
        </w:rPr>
        <w:t>14,609</w:t>
      </w:r>
      <w:r w:rsidRPr="00AA47A6">
        <w:rPr>
          <w:rFonts w:cs="Arial"/>
        </w:rPr>
        <w:t xml:space="preserve"> instances in person, by mail and phone. Total VA pension and compensation benefits for Brevard veterans were the 3rd largest amount in Florida with more than $</w:t>
      </w:r>
      <w:r w:rsidR="00126DE0">
        <w:rPr>
          <w:rFonts w:cs="Arial"/>
        </w:rPr>
        <w:t>672</w:t>
      </w:r>
      <w:r w:rsidRPr="00AA47A6">
        <w:rPr>
          <w:rFonts w:cs="Arial"/>
        </w:rPr>
        <w:t xml:space="preserve"> million dollars. Total annual expenditure of VA benefits going to Brevard residents  equaled more than </w:t>
      </w:r>
      <w:r w:rsidR="00126DE0">
        <w:rPr>
          <w:rFonts w:cs="Arial"/>
        </w:rPr>
        <w:t>one billion</w:t>
      </w:r>
      <w:r w:rsidRPr="00AA47A6">
        <w:rPr>
          <w:rFonts w:cs="Arial"/>
        </w:rPr>
        <w:t xml:space="preserve"> dollars. </w:t>
      </w:r>
    </w:p>
    <w:p w14:paraId="70EBE32C" w14:textId="19BE92F5" w:rsidR="004E7119" w:rsidRDefault="002A3363">
      <w:pPr>
        <w:widowControl w:val="0"/>
        <w:spacing w:beforeAutospacing="1" w:afterAutospacing="1"/>
        <w:rPr>
          <w:rFonts w:cs="Arial"/>
        </w:rPr>
      </w:pPr>
      <w:r w:rsidRPr="00AA47A6">
        <w:rPr>
          <w:rFonts w:cs="Arial"/>
        </w:rPr>
        <w:t xml:space="preserve">United Way of Brevard assisted </w:t>
      </w:r>
      <w:r w:rsidR="006D66BB" w:rsidRPr="00AA47A6">
        <w:rPr>
          <w:rFonts w:cs="Arial"/>
        </w:rPr>
        <w:t>223</w:t>
      </w:r>
      <w:r w:rsidRPr="00AA47A6">
        <w:rPr>
          <w:rFonts w:cs="Arial"/>
        </w:rPr>
        <w:t xml:space="preserve"> households with Housing Opportunities for Persons </w:t>
      </w:r>
      <w:proofErr w:type="gramStart"/>
      <w:r w:rsidRPr="00AA47A6">
        <w:rPr>
          <w:rFonts w:cs="Arial"/>
        </w:rPr>
        <w:t>With</w:t>
      </w:r>
      <w:proofErr w:type="gramEnd"/>
      <w:r w:rsidRPr="00AA47A6">
        <w:rPr>
          <w:rFonts w:cs="Arial"/>
        </w:rPr>
        <w:t xml:space="preserve"> Aids funds in the amount of $486,</w:t>
      </w:r>
      <w:r w:rsidR="006D66BB" w:rsidRPr="00AA47A6">
        <w:rPr>
          <w:rFonts w:cs="Arial"/>
        </w:rPr>
        <w:t>512</w:t>
      </w:r>
      <w:r w:rsidRPr="00AA47A6">
        <w:rPr>
          <w:rFonts w:cs="Arial"/>
        </w:rPr>
        <w:t>.</w:t>
      </w:r>
    </w:p>
    <w:p w14:paraId="247710D6" w14:textId="77777777" w:rsidR="004E7119" w:rsidRDefault="002A3363">
      <w:pPr>
        <w:widowControl w:val="0"/>
        <w:rPr>
          <w:b/>
          <w:sz w:val="24"/>
          <w:szCs w:val="24"/>
        </w:rPr>
      </w:pPr>
      <w:r>
        <w:rPr>
          <w:b/>
          <w:sz w:val="24"/>
          <w:szCs w:val="24"/>
        </w:rPr>
        <w:t>Actions taken to reduce lead-based paint hazards. 91.220(k); 91.320(j)</w:t>
      </w:r>
    </w:p>
    <w:p w14:paraId="06CDB358" w14:textId="77777777" w:rsidR="004E7119" w:rsidRDefault="002A3363">
      <w:pPr>
        <w:widowControl w:val="0"/>
        <w:spacing w:beforeAutospacing="1" w:afterAutospacing="1"/>
        <w:rPr>
          <w:rFonts w:cs="Arial"/>
        </w:rPr>
      </w:pPr>
      <w:r>
        <w:rPr>
          <w:rFonts w:cs="Arial"/>
        </w:rPr>
        <w:t>The Consortium evaluates each United States Department of Housing and Urban Development assisted dwelling for lead based paint.  Assisted homebuyers and homeowners are provided with information on lead based paint hazards. </w:t>
      </w:r>
    </w:p>
    <w:p w14:paraId="1C65E307" w14:textId="2FAE9EF5" w:rsidR="004E7119" w:rsidRDefault="002A3363">
      <w:pPr>
        <w:widowControl w:val="0"/>
        <w:spacing w:beforeAutospacing="1" w:afterAutospacing="1"/>
        <w:rPr>
          <w:rFonts w:cs="Arial"/>
        </w:rPr>
      </w:pPr>
      <w:r>
        <w:rPr>
          <w:rFonts w:cs="Arial"/>
        </w:rPr>
        <w:t xml:space="preserve">All pre-1978 homes assessment are done by an environmental company that </w:t>
      </w:r>
      <w:r w:rsidR="00FD61DD" w:rsidRPr="00AA47A6">
        <w:rPr>
          <w:rFonts w:cs="Arial"/>
        </w:rPr>
        <w:t>is qualified to complete</w:t>
      </w:r>
      <w:r w:rsidRPr="00AA47A6">
        <w:rPr>
          <w:rFonts w:cs="Arial"/>
        </w:rPr>
        <w:t xml:space="preserve"> lead-based paint inspections.</w:t>
      </w:r>
    </w:p>
    <w:p w14:paraId="0BC355E5" w14:textId="77777777" w:rsidR="004E7119" w:rsidRDefault="002A3363">
      <w:pPr>
        <w:widowControl w:val="0"/>
        <w:spacing w:beforeAutospacing="1" w:afterAutospacing="1"/>
        <w:rPr>
          <w:rFonts w:cs="Arial"/>
        </w:rPr>
      </w:pPr>
      <w:r>
        <w:rPr>
          <w:rFonts w:cs="Arial"/>
        </w:rPr>
        <w:t xml:space="preserve">The County offers technical guidance to each Community Housing Development Organization and non-profit accessing federal dollars for housing related services </w:t>
      </w:r>
      <w:proofErr w:type="gramStart"/>
      <w:r>
        <w:rPr>
          <w:rFonts w:cs="Arial"/>
        </w:rPr>
        <w:t>in order to</w:t>
      </w:r>
      <w:proofErr w:type="gramEnd"/>
      <w:r>
        <w:rPr>
          <w:rFonts w:cs="Arial"/>
        </w:rPr>
        <w:t xml:space="preserve"> ensure that existing housing programs and policies comply with federal regulations.  Technical assistance is also available to each member of the Consortium.</w:t>
      </w:r>
    </w:p>
    <w:p w14:paraId="5FC2D734" w14:textId="77777777" w:rsidR="004E7119" w:rsidRDefault="002A3363">
      <w:pPr>
        <w:widowControl w:val="0"/>
        <w:rPr>
          <w:b/>
          <w:sz w:val="24"/>
          <w:szCs w:val="24"/>
        </w:rPr>
      </w:pPr>
      <w:r>
        <w:rPr>
          <w:b/>
          <w:sz w:val="24"/>
          <w:szCs w:val="24"/>
        </w:rPr>
        <w:t>Actions taken to reduce the number of poverty-level families. 91.220(k); 91.320(j)</w:t>
      </w:r>
    </w:p>
    <w:p w14:paraId="50C6DBC1" w14:textId="2E25AD42" w:rsidR="004E7119" w:rsidRDefault="002A3363">
      <w:pPr>
        <w:widowControl w:val="0"/>
        <w:spacing w:beforeAutospacing="1" w:afterAutospacing="1"/>
        <w:rPr>
          <w:rFonts w:cs="Arial"/>
        </w:rPr>
      </w:pPr>
      <w:r>
        <w:rPr>
          <w:rFonts w:cs="Arial"/>
        </w:rPr>
        <w:t xml:space="preserve">The County has </w:t>
      </w:r>
      <w:proofErr w:type="spellStart"/>
      <w:r>
        <w:rPr>
          <w:rFonts w:cs="Arial"/>
        </w:rPr>
        <w:t>utilitized</w:t>
      </w:r>
      <w:proofErr w:type="spellEnd"/>
      <w:r>
        <w:rPr>
          <w:rFonts w:cs="Arial"/>
        </w:rPr>
        <w:t xml:space="preserve"> Community Development Block Grant and Community Development Block Grant-Coronavirus funds to support a variety of </w:t>
      </w:r>
      <w:proofErr w:type="spellStart"/>
      <w:r>
        <w:rPr>
          <w:rFonts w:cs="Arial"/>
        </w:rPr>
        <w:t>activites</w:t>
      </w:r>
      <w:proofErr w:type="spellEnd"/>
      <w:r>
        <w:rPr>
          <w:rFonts w:cs="Arial"/>
        </w:rPr>
        <w:t xml:space="preserve"> that are specifically designed to help low and moderate income households break the cycle of poverty. These activities </w:t>
      </w:r>
      <w:proofErr w:type="gramStart"/>
      <w:r>
        <w:rPr>
          <w:rFonts w:cs="Arial"/>
        </w:rPr>
        <w:t>include</w:t>
      </w:r>
      <w:r w:rsidRPr="00692867">
        <w:rPr>
          <w:rFonts w:cs="Arial"/>
        </w:rPr>
        <w:t>:</w:t>
      </w:r>
      <w:proofErr w:type="gramEnd"/>
      <w:r w:rsidRPr="00692867">
        <w:rPr>
          <w:rFonts w:cs="Arial"/>
        </w:rPr>
        <w:t xml:space="preserve"> case management, transportation, emergency food and shelter programs, senior services, youth services</w:t>
      </w:r>
      <w:r w:rsidR="00BF5DC1">
        <w:rPr>
          <w:rFonts w:cs="Arial"/>
        </w:rPr>
        <w:t>,</w:t>
      </w:r>
      <w:r w:rsidRPr="00692867">
        <w:rPr>
          <w:rFonts w:cs="Arial"/>
        </w:rPr>
        <w:t xml:space="preserve"> and homeless prevention. Additionally, the Consortium worked in partnership with local non-profit and for-profit</w:t>
      </w:r>
      <w:r>
        <w:rPr>
          <w:rFonts w:cs="Arial"/>
        </w:rPr>
        <w:t xml:space="preserve"> developers to utilize federal and state funds to expand housing opportunities. </w:t>
      </w:r>
    </w:p>
    <w:p w14:paraId="77E94A3C" w14:textId="0AF630AF" w:rsidR="004E7119" w:rsidRDefault="002A3363">
      <w:pPr>
        <w:widowControl w:val="0"/>
        <w:spacing w:beforeAutospacing="1" w:afterAutospacing="1"/>
        <w:rPr>
          <w:rFonts w:cs="Arial"/>
        </w:rPr>
      </w:pPr>
      <w:r>
        <w:rPr>
          <w:rFonts w:cs="Arial"/>
        </w:rPr>
        <w:t xml:space="preserve">The County's Community Action Agency </w:t>
      </w:r>
      <w:proofErr w:type="gramStart"/>
      <w:r>
        <w:rPr>
          <w:rFonts w:cs="Arial"/>
        </w:rPr>
        <w:t>provides assistance to</w:t>
      </w:r>
      <w:proofErr w:type="gramEnd"/>
      <w:r>
        <w:rPr>
          <w:rFonts w:cs="Arial"/>
        </w:rPr>
        <w:t xml:space="preserve"> seniors, the disabled, families with children under five (5) years of age and low income residents. Citizens were able to access the following services: Emergency Services </w:t>
      </w:r>
      <w:r w:rsidRPr="00692867">
        <w:rPr>
          <w:rFonts w:cs="Arial"/>
        </w:rPr>
        <w:t>(</w:t>
      </w:r>
      <w:r w:rsidR="00E70210" w:rsidRPr="00692867">
        <w:rPr>
          <w:rFonts w:cs="Arial"/>
        </w:rPr>
        <w:t>865</w:t>
      </w:r>
      <w:r w:rsidR="00CF31BD" w:rsidRPr="00692867">
        <w:rPr>
          <w:rFonts w:cs="Arial"/>
        </w:rPr>
        <w:t xml:space="preserve"> </w:t>
      </w:r>
      <w:r w:rsidRPr="00692867">
        <w:rPr>
          <w:rFonts w:cs="Arial"/>
        </w:rPr>
        <w:t>households assisted); Low Income Home Weatherization Assistance Program, Low Income Home Energy Assistance Program, and Low Income Home Energy Assistance Program American Rescue Plan Act (</w:t>
      </w:r>
      <w:r w:rsidR="00EA4058" w:rsidRPr="00692867">
        <w:rPr>
          <w:rFonts w:cs="Arial"/>
        </w:rPr>
        <w:t>3,</w:t>
      </w:r>
      <w:r w:rsidR="00E70210" w:rsidRPr="00692867">
        <w:rPr>
          <w:rFonts w:cs="Arial"/>
        </w:rPr>
        <w:t>418</w:t>
      </w:r>
      <w:r w:rsidRPr="00692867">
        <w:rPr>
          <w:rFonts w:cs="Arial"/>
        </w:rPr>
        <w:t xml:space="preserve"> households assisted); Elderly Home Energy Assistance Program (</w:t>
      </w:r>
      <w:r w:rsidR="00E70210" w:rsidRPr="00692867">
        <w:rPr>
          <w:rFonts w:cs="Arial"/>
        </w:rPr>
        <w:t>73</w:t>
      </w:r>
      <w:r w:rsidRPr="00692867">
        <w:rPr>
          <w:rFonts w:cs="Arial"/>
        </w:rPr>
        <w:t xml:space="preserve"> households assisted); Community Services</w:t>
      </w:r>
      <w:r>
        <w:rPr>
          <w:rFonts w:cs="Arial"/>
        </w:rPr>
        <w:t xml:space="preserve"> Block Grant Program-which </w:t>
      </w:r>
      <w:proofErr w:type="gramStart"/>
      <w:r>
        <w:rPr>
          <w:rFonts w:cs="Arial"/>
        </w:rPr>
        <w:t>counsels</w:t>
      </w:r>
      <w:proofErr w:type="gramEnd"/>
      <w:r>
        <w:rPr>
          <w:rFonts w:cs="Arial"/>
        </w:rPr>
        <w:t xml:space="preserve"> applicants through pre-set goals and objectives </w:t>
      </w:r>
      <w:r w:rsidRPr="00692867">
        <w:rPr>
          <w:rFonts w:cs="Arial"/>
        </w:rPr>
        <w:t>(</w:t>
      </w:r>
      <w:r w:rsidR="00E70210" w:rsidRPr="00692867">
        <w:rPr>
          <w:rFonts w:cs="Arial"/>
        </w:rPr>
        <w:t>194</w:t>
      </w:r>
      <w:r w:rsidRPr="00692867">
        <w:rPr>
          <w:rFonts w:cs="Arial"/>
        </w:rPr>
        <w:t xml:space="preserve"> households</w:t>
      </w:r>
      <w:r>
        <w:rPr>
          <w:rFonts w:cs="Arial"/>
        </w:rPr>
        <w:t xml:space="preserve"> assisted).</w:t>
      </w:r>
    </w:p>
    <w:p w14:paraId="4BD1D8CE" w14:textId="5EBA9072" w:rsidR="004E7119" w:rsidRDefault="002A3363">
      <w:pPr>
        <w:widowControl w:val="0"/>
        <w:spacing w:beforeAutospacing="1" w:afterAutospacing="1"/>
        <w:rPr>
          <w:rFonts w:cs="Arial"/>
        </w:rPr>
      </w:pPr>
      <w:r>
        <w:rPr>
          <w:rFonts w:cs="Arial"/>
        </w:rPr>
        <w:lastRenderedPageBreak/>
        <w:t>The Consortium worked in partnership with various local non-profit agencies and developers that provided housing, education, job training/placement, employment opportunities, and reliable transportation, as well as other services that assist in preventing barriers to moving poverty-level families toward becoming self-sufficient. Within the Consortium, the following specific actions were taken:</w:t>
      </w:r>
    </w:p>
    <w:p w14:paraId="4C773E29" w14:textId="674120C9" w:rsidR="004E7119" w:rsidRDefault="002A3363">
      <w:pPr>
        <w:widowControl w:val="0"/>
        <w:numPr>
          <w:ilvl w:val="0"/>
          <w:numId w:val="3"/>
        </w:numPr>
        <w:spacing w:beforeAutospacing="1" w:afterAutospacing="1"/>
        <w:rPr>
          <w:rFonts w:cs="Arial"/>
        </w:rPr>
      </w:pPr>
      <w:r>
        <w:rPr>
          <w:rFonts w:cs="Arial"/>
        </w:rPr>
        <w:t xml:space="preserve">The </w:t>
      </w:r>
      <w:r w:rsidRPr="006D1886">
        <w:rPr>
          <w:rFonts w:cs="Arial"/>
        </w:rPr>
        <w:t xml:space="preserve">City of Titusville </w:t>
      </w:r>
      <w:r w:rsidR="006D1886" w:rsidRPr="006D1886">
        <w:rPr>
          <w:rFonts w:asciiTheme="minorHAnsi" w:hAnsiTheme="minorHAnsi" w:cstheme="minorHAnsi"/>
        </w:rPr>
        <w:t>has implemented Emergency Assistance programs that provide rent, mortgage, and utility assistance to help residents maintain their housing and avoid homelessness</w:t>
      </w:r>
      <w:r w:rsidR="00113720">
        <w:rPr>
          <w:rFonts w:cs="Arial"/>
        </w:rPr>
        <w:t>;</w:t>
      </w:r>
      <w:r>
        <w:rPr>
          <w:rFonts w:cs="Arial"/>
        </w:rPr>
        <w:t xml:space="preserve">  </w:t>
      </w:r>
    </w:p>
    <w:p w14:paraId="1598973E" w14:textId="4B06F5F4" w:rsidR="004E7119" w:rsidRPr="00333ECA" w:rsidRDefault="002A3363">
      <w:pPr>
        <w:widowControl w:val="0"/>
        <w:numPr>
          <w:ilvl w:val="0"/>
          <w:numId w:val="3"/>
        </w:numPr>
        <w:spacing w:beforeAutospacing="1" w:afterAutospacing="1"/>
        <w:rPr>
          <w:rFonts w:cs="Arial"/>
        </w:rPr>
      </w:pPr>
      <w:r>
        <w:rPr>
          <w:rFonts w:cs="Arial"/>
        </w:rPr>
        <w:t>The City of</w:t>
      </w:r>
      <w:r w:rsidR="00100AD6">
        <w:rPr>
          <w:rFonts w:cs="Arial"/>
        </w:rPr>
        <w:t xml:space="preserve"> Melbourne</w:t>
      </w:r>
      <w:r>
        <w:rPr>
          <w:rFonts w:cs="Arial"/>
        </w:rPr>
        <w:t xml:space="preserve"> </w:t>
      </w:r>
      <w:r w:rsidR="00113720" w:rsidRPr="00333ECA">
        <w:rPr>
          <w:rFonts w:cs="Arial"/>
        </w:rPr>
        <w:t>has an executed agreement for a CHDO project to rebuild a single family rental for housing for those in transition from homelessness;</w:t>
      </w:r>
    </w:p>
    <w:p w14:paraId="1DF9AFBA" w14:textId="7C46086E" w:rsidR="00C66A4F" w:rsidRPr="00C66A4F" w:rsidRDefault="002A3363" w:rsidP="00C66A4F">
      <w:pPr>
        <w:widowControl w:val="0"/>
        <w:numPr>
          <w:ilvl w:val="0"/>
          <w:numId w:val="3"/>
        </w:numPr>
        <w:spacing w:beforeAutospacing="1" w:afterAutospacing="1"/>
        <w:rPr>
          <w:rFonts w:cs="Arial"/>
        </w:rPr>
      </w:pPr>
      <w:r>
        <w:rPr>
          <w:rFonts w:cs="Arial"/>
        </w:rPr>
        <w:t xml:space="preserve">The City of Cocoa partnered </w:t>
      </w:r>
      <w:r w:rsidR="00692867">
        <w:rPr>
          <w:rFonts w:cs="Arial"/>
        </w:rPr>
        <w:t xml:space="preserve">with Space Coast Recovery </w:t>
      </w:r>
      <w:r w:rsidRPr="003D7D91">
        <w:rPr>
          <w:rFonts w:cs="Arial"/>
        </w:rPr>
        <w:t xml:space="preserve">to </w:t>
      </w:r>
      <w:r w:rsidR="00C66A4F" w:rsidRPr="003D7D91">
        <w:rPr>
          <w:rFonts w:cs="Arial"/>
        </w:rPr>
        <w:t xml:space="preserve"> p</w:t>
      </w:r>
      <w:r w:rsidR="00C66A4F" w:rsidRPr="00C66A4F">
        <w:rPr>
          <w:rFonts w:cs="Arial"/>
        </w:rPr>
        <w:t>rovide a transitional recovery housing program. This program will assist with sobriety treatments</w:t>
      </w:r>
      <w:r w:rsidR="003D7D91">
        <w:rPr>
          <w:rFonts w:cs="Arial"/>
        </w:rPr>
        <w:t xml:space="preserve"> and</w:t>
      </w:r>
      <w:r w:rsidR="00C66A4F" w:rsidRPr="00C66A4F">
        <w:rPr>
          <w:rFonts w:cs="Arial"/>
        </w:rPr>
        <w:t xml:space="preserve"> wrap around services to help  them attain permanent housing</w:t>
      </w:r>
      <w:r w:rsidR="006D1886">
        <w:rPr>
          <w:rFonts w:cs="Arial"/>
        </w:rPr>
        <w:t>;</w:t>
      </w:r>
      <w:r w:rsidR="00C66A4F" w:rsidRPr="00C66A4F">
        <w:rPr>
          <w:rFonts w:cs="Arial"/>
        </w:rPr>
        <w:t xml:space="preserve"> </w:t>
      </w:r>
    </w:p>
    <w:p w14:paraId="1E7A102C" w14:textId="77777777" w:rsidR="00CF5893" w:rsidRDefault="00E13AE0">
      <w:pPr>
        <w:widowControl w:val="0"/>
        <w:numPr>
          <w:ilvl w:val="0"/>
          <w:numId w:val="3"/>
        </w:numPr>
        <w:spacing w:beforeAutospacing="1" w:afterAutospacing="1"/>
        <w:rPr>
          <w:rFonts w:cs="Arial"/>
        </w:rPr>
      </w:pPr>
      <w:r w:rsidRPr="00C66A4F">
        <w:rPr>
          <w:rFonts w:cs="Arial"/>
        </w:rPr>
        <w:t xml:space="preserve">The City of Palm Bay partners with multiple agencies throughout the county to address the needs citizens face regarding education, employment, </w:t>
      </w:r>
      <w:proofErr w:type="gramStart"/>
      <w:r w:rsidRPr="00C66A4F">
        <w:rPr>
          <w:rFonts w:cs="Arial"/>
        </w:rPr>
        <w:t>transportation</w:t>
      </w:r>
      <w:proofErr w:type="gramEnd"/>
      <w:r w:rsidRPr="00C66A4F">
        <w:rPr>
          <w:rFonts w:cs="Arial"/>
        </w:rPr>
        <w:t xml:space="preserve"> or barriers to health care</w:t>
      </w:r>
      <w:r w:rsidR="00CF5893">
        <w:rPr>
          <w:rFonts w:cs="Arial"/>
        </w:rPr>
        <w:t xml:space="preserve">; </w:t>
      </w:r>
    </w:p>
    <w:p w14:paraId="4F70155B" w14:textId="74CD51CE" w:rsidR="004E7119" w:rsidRPr="00CF5893" w:rsidRDefault="00CF5893">
      <w:pPr>
        <w:widowControl w:val="0"/>
        <w:numPr>
          <w:ilvl w:val="0"/>
          <w:numId w:val="3"/>
        </w:numPr>
        <w:spacing w:beforeAutospacing="1" w:afterAutospacing="1"/>
        <w:rPr>
          <w:rFonts w:cs="Arial"/>
        </w:rPr>
      </w:pPr>
      <w:r w:rsidRPr="00CF5893">
        <w:rPr>
          <w:rFonts w:cs="Arial"/>
        </w:rPr>
        <w:t>Brevard County utilized both ERA and ARPA funding to provide rental, mortgage and utility assistance to eligible residents who could not afford to make those essential payments. This allowed, in most cases, financial support while residents worked to regain employment after the pandemic.</w:t>
      </w:r>
    </w:p>
    <w:p w14:paraId="19F01C67" w14:textId="77777777" w:rsidR="004E7119" w:rsidRDefault="002A3363">
      <w:pPr>
        <w:widowControl w:val="0"/>
        <w:rPr>
          <w:b/>
          <w:sz w:val="24"/>
          <w:szCs w:val="24"/>
        </w:rPr>
      </w:pPr>
      <w:r>
        <w:rPr>
          <w:b/>
          <w:sz w:val="24"/>
          <w:szCs w:val="24"/>
        </w:rPr>
        <w:t>Actions taken to develop institutional structure. 91.220(k); 91.320(j)</w:t>
      </w:r>
    </w:p>
    <w:p w14:paraId="2B7E54D1" w14:textId="77777777" w:rsidR="004E7119" w:rsidRDefault="002A3363">
      <w:pPr>
        <w:widowControl w:val="0"/>
        <w:spacing w:beforeAutospacing="1" w:afterAutospacing="1"/>
        <w:rPr>
          <w:rFonts w:cs="Arial"/>
        </w:rPr>
      </w:pPr>
      <w:r>
        <w:rPr>
          <w:rFonts w:cs="Arial"/>
        </w:rPr>
        <w:t xml:space="preserve">The Consortium has policies and procedures in place to ensure compliance with the United States Department of Housing and Urban Development regulations. These policies and procedures are periodically </w:t>
      </w:r>
      <w:proofErr w:type="gramStart"/>
      <w:r>
        <w:rPr>
          <w:rFonts w:cs="Arial"/>
        </w:rPr>
        <w:t>reviewed</w:t>
      </w:r>
      <w:proofErr w:type="gramEnd"/>
      <w:r>
        <w:rPr>
          <w:rFonts w:cs="Arial"/>
        </w:rPr>
        <w:t xml:space="preserve"> and discussions take place when changes have occurred.</w:t>
      </w:r>
    </w:p>
    <w:p w14:paraId="28888EA6" w14:textId="77777777" w:rsidR="004E7119" w:rsidRDefault="002A3363">
      <w:pPr>
        <w:widowControl w:val="0"/>
        <w:spacing w:beforeAutospacing="1" w:afterAutospacing="1"/>
        <w:rPr>
          <w:rFonts w:cs="Arial"/>
        </w:rPr>
      </w:pPr>
      <w:r>
        <w:rPr>
          <w:rFonts w:cs="Arial"/>
        </w:rPr>
        <w:t xml:space="preserve">Employee development is promoted through attendance/participation at workshops, webinars, </w:t>
      </w:r>
      <w:proofErr w:type="gramStart"/>
      <w:r>
        <w:rPr>
          <w:rFonts w:cs="Arial"/>
        </w:rPr>
        <w:t>conferences</w:t>
      </w:r>
      <w:proofErr w:type="gramEnd"/>
      <w:r>
        <w:rPr>
          <w:rFonts w:cs="Arial"/>
        </w:rPr>
        <w:t xml:space="preserve"> and networking meetings to keep abreast of the United States Department of Housing and Urban Development regulations.</w:t>
      </w:r>
    </w:p>
    <w:p w14:paraId="37AD8F96" w14:textId="77777777" w:rsidR="001D1DCF" w:rsidRPr="00CB6A31" w:rsidRDefault="001D1DCF" w:rsidP="001D1DCF">
      <w:pPr>
        <w:spacing w:beforeAutospacing="1" w:afterAutospacing="1"/>
        <w:rPr>
          <w:rFonts w:cs="Arial"/>
        </w:rPr>
      </w:pPr>
      <w:r w:rsidRPr="00CB6A31">
        <w:rPr>
          <w:rFonts w:cs="Arial"/>
        </w:rPr>
        <w:t xml:space="preserve">Through a partnership, the City of Titusville, a local Community Housing Development organization, Community of Hope, and Brevard County proceeded </w:t>
      </w:r>
      <w:bookmarkStart w:id="4" w:name="_Hlk183161322"/>
      <w:r w:rsidRPr="00CB6A31">
        <w:rPr>
          <w:rFonts w:cs="Arial"/>
        </w:rPr>
        <w:t xml:space="preserve">to construct and manage new rental housing for the homeless and those at risk of homelessness. </w:t>
      </w:r>
    </w:p>
    <w:bookmarkEnd w:id="4"/>
    <w:p w14:paraId="19D53D0A" w14:textId="77777777" w:rsidR="004E7119" w:rsidRDefault="002A3363">
      <w:pPr>
        <w:widowControl w:val="0"/>
        <w:spacing w:beforeAutospacing="1" w:afterAutospacing="1"/>
        <w:rPr>
          <w:rFonts w:cs="Arial"/>
        </w:rPr>
      </w:pPr>
      <w:r>
        <w:rPr>
          <w:rFonts w:cs="Arial"/>
        </w:rPr>
        <w:t xml:space="preserve">Partnerships are established with non-profit and for-profit organizations to assist with ensuring the timely expenditure of funds and to ensure the increase and maintenance of affordable housing and the support of programs which promote </w:t>
      </w:r>
      <w:proofErr w:type="spellStart"/>
      <w:r>
        <w:rPr>
          <w:rFonts w:cs="Arial"/>
        </w:rPr>
        <w:t>self sufficiency</w:t>
      </w:r>
      <w:proofErr w:type="spellEnd"/>
      <w:r>
        <w:rPr>
          <w:rFonts w:cs="Arial"/>
        </w:rPr>
        <w:t xml:space="preserve"> among under-served residents. </w:t>
      </w:r>
      <w:proofErr w:type="spellStart"/>
      <w:r>
        <w:rPr>
          <w:rFonts w:cs="Arial"/>
        </w:rPr>
        <w:t>Addtionally</w:t>
      </w:r>
      <w:proofErr w:type="spellEnd"/>
      <w:r>
        <w:rPr>
          <w:rFonts w:cs="Arial"/>
        </w:rPr>
        <w:t>, partnerships continued to develop with local lending institutions, realtors and mortgage institutions, local community college, credit counseling services, affordable housing developers and community leaders to increase affordable housing efforts. </w:t>
      </w:r>
    </w:p>
    <w:p w14:paraId="24936E18" w14:textId="13DD7A23" w:rsidR="004E7119" w:rsidRDefault="002A3363">
      <w:pPr>
        <w:widowControl w:val="0"/>
        <w:rPr>
          <w:b/>
          <w:sz w:val="24"/>
          <w:szCs w:val="24"/>
        </w:rPr>
      </w:pPr>
      <w:r>
        <w:rPr>
          <w:b/>
          <w:sz w:val="24"/>
          <w:szCs w:val="24"/>
        </w:rPr>
        <w:lastRenderedPageBreak/>
        <w:t>Actions taken to enhance coordination between public and private housing and social service agencies. 91.220(k); 91.320(j)</w:t>
      </w:r>
    </w:p>
    <w:p w14:paraId="46F350CE" w14:textId="77777777" w:rsidR="004E7119" w:rsidRDefault="002A3363">
      <w:pPr>
        <w:widowControl w:val="0"/>
        <w:spacing w:beforeAutospacing="1" w:afterAutospacing="1"/>
        <w:rPr>
          <w:rFonts w:cs="Arial"/>
        </w:rPr>
      </w:pPr>
      <w:r>
        <w:rPr>
          <w:rFonts w:cs="Arial"/>
        </w:rPr>
        <w:t>The Consortium continues to forge partnerships with local housing authorities, local community/faith-based organizations, various for-profit/</w:t>
      </w:r>
      <w:proofErr w:type="spellStart"/>
      <w:proofErr w:type="gramStart"/>
      <w:r>
        <w:rPr>
          <w:rFonts w:cs="Arial"/>
        </w:rPr>
        <w:t>non profit</w:t>
      </w:r>
      <w:proofErr w:type="spellEnd"/>
      <w:proofErr w:type="gramEnd"/>
      <w:r>
        <w:rPr>
          <w:rFonts w:cs="Arial"/>
        </w:rPr>
        <w:t>, and housing developers in an effort to create/maintain affordable housing units.  Funding is also allocated to various public service organizations that provide social services to very low to moderate income residents. Both housing and social services agencies are encouraged to attend advisory board meetings. Consortium members also participate in round-table discussions to determine how to maximize available resources. Technical assistance is provided, by Consortium members, to organizations on an as needed basis. </w:t>
      </w:r>
    </w:p>
    <w:p w14:paraId="2EFBAE1E" w14:textId="061A596E" w:rsidR="004E7119" w:rsidRDefault="002A3363" w:rsidP="00E441ED">
      <w:pPr>
        <w:widowControl w:val="0"/>
        <w:spacing w:before="100" w:beforeAutospacing="1" w:after="100" w:afterAutospacing="1"/>
        <w:rPr>
          <w:rFonts w:cs="Arial"/>
        </w:rPr>
      </w:pPr>
      <w:r>
        <w:rPr>
          <w:rFonts w:cs="Arial"/>
        </w:rPr>
        <w:t xml:space="preserve">The City of Titusville continues to support the Titusville Housing Authority to enhance the lives of residents in Public Housing. </w:t>
      </w:r>
      <w:r w:rsidR="006A6965">
        <w:rPr>
          <w:rFonts w:cs="Arial"/>
        </w:rPr>
        <w:t>The City of Titusville has a written agreement with Community of Hope to build affordable housing within the South Street target area on a city donated parcel.</w:t>
      </w:r>
    </w:p>
    <w:p w14:paraId="0853848D" w14:textId="77777777" w:rsidR="004E7119" w:rsidRDefault="002A3363">
      <w:pPr>
        <w:widowControl w:val="0"/>
        <w:rPr>
          <w:b/>
          <w:sz w:val="24"/>
          <w:szCs w:val="24"/>
        </w:rPr>
      </w:pPr>
      <w:r>
        <w:rPr>
          <w:b/>
          <w:sz w:val="24"/>
          <w:szCs w:val="24"/>
        </w:rPr>
        <w:t>Identify actions taken to overcome the effects of any impediments identified in the jurisdictions analysis of impediments to fair housing choice.  91.520(a)</w:t>
      </w:r>
    </w:p>
    <w:p w14:paraId="3C4CA457" w14:textId="5ECEB70C" w:rsidR="006475EF" w:rsidRPr="00FE7860" w:rsidRDefault="006475EF" w:rsidP="006475EF">
      <w:pPr>
        <w:pStyle w:val="NormalWeb"/>
        <w:rPr>
          <w:rFonts w:asciiTheme="minorHAnsi" w:hAnsiTheme="minorHAnsi" w:cstheme="minorHAnsi"/>
        </w:rPr>
      </w:pPr>
      <w:r w:rsidRPr="00FE7860">
        <w:rPr>
          <w:rFonts w:asciiTheme="minorHAnsi" w:hAnsiTheme="minorHAnsi" w:cstheme="minorHAnsi"/>
        </w:rPr>
        <w:t>Currently, Brevard County runs Fair Housing Public Service Announcements (PSA’s) on Brevard County’s Space Coast Government Television (SCGTV) station throughout the year to provide two public service announcements to promote fair housing a total of 2</w:t>
      </w:r>
      <w:r w:rsidR="005B12A5">
        <w:rPr>
          <w:rFonts w:asciiTheme="minorHAnsi" w:hAnsiTheme="minorHAnsi" w:cstheme="minorHAnsi"/>
        </w:rPr>
        <w:t>25</w:t>
      </w:r>
      <w:r w:rsidRPr="00FE7860">
        <w:rPr>
          <w:rFonts w:asciiTheme="minorHAnsi" w:hAnsiTheme="minorHAnsi" w:cstheme="minorHAnsi"/>
        </w:rPr>
        <w:t xml:space="preserve"> times for the thirty second spot, and 2</w:t>
      </w:r>
      <w:r w:rsidR="005B12A5">
        <w:rPr>
          <w:rFonts w:asciiTheme="minorHAnsi" w:hAnsiTheme="minorHAnsi" w:cstheme="minorHAnsi"/>
        </w:rPr>
        <w:t>74</w:t>
      </w:r>
      <w:r w:rsidRPr="00FE7860">
        <w:rPr>
          <w:rFonts w:asciiTheme="minorHAnsi" w:hAnsiTheme="minorHAnsi" w:cstheme="minorHAnsi"/>
        </w:rPr>
        <w:t xml:space="preserve"> times for the longer spot titled “Seven Days”. Brevard County, in partnership with the cities, sponsored an Affordable Housing Summit and included Fair Housing Training. </w:t>
      </w:r>
    </w:p>
    <w:p w14:paraId="3FF9A2AD" w14:textId="6EB93D6F" w:rsidR="00B2204F" w:rsidRPr="006475EF" w:rsidRDefault="00B2204F" w:rsidP="00B2204F">
      <w:pPr>
        <w:pStyle w:val="NormalWeb"/>
        <w:rPr>
          <w:rFonts w:ascii="Calibri" w:hAnsi="Calibri" w:cs="Calibri"/>
        </w:rPr>
      </w:pPr>
      <w:r w:rsidRPr="00FE7860">
        <w:rPr>
          <w:rFonts w:ascii="Calibri" w:hAnsi="Calibri" w:cs="Calibri"/>
        </w:rPr>
        <w:t xml:space="preserve">Brevard County continues to offer fair housing training within </w:t>
      </w:r>
      <w:r w:rsidR="00FD61DD" w:rsidRPr="00FE7860">
        <w:rPr>
          <w:rFonts w:ascii="Calibri" w:hAnsi="Calibri" w:cs="Calibri"/>
        </w:rPr>
        <w:t>the</w:t>
      </w:r>
      <w:r w:rsidRPr="00FE7860">
        <w:rPr>
          <w:rFonts w:ascii="Calibri" w:hAnsi="Calibri" w:cs="Calibri"/>
        </w:rPr>
        <w:t xml:space="preserve"> Purchase Assistance workshops and provide educational materials during outreach events. </w:t>
      </w:r>
      <w:r w:rsidR="006475EF" w:rsidRPr="00FE7860">
        <w:rPr>
          <w:rFonts w:ascii="Calibri" w:hAnsi="Calibri" w:cs="Calibri"/>
        </w:rPr>
        <w:t xml:space="preserve">Additionally, Brevard County partnered with the HOME Consortium (Palm Bay, Melbourne, </w:t>
      </w:r>
      <w:proofErr w:type="gramStart"/>
      <w:r w:rsidR="006475EF" w:rsidRPr="00FE7860">
        <w:rPr>
          <w:rFonts w:ascii="Calibri" w:hAnsi="Calibri" w:cs="Calibri"/>
        </w:rPr>
        <w:t>Cocoa</w:t>
      </w:r>
      <w:proofErr w:type="gramEnd"/>
      <w:r w:rsidR="006475EF" w:rsidRPr="00FE7860">
        <w:rPr>
          <w:rFonts w:ascii="Calibri" w:hAnsi="Calibri" w:cs="Calibri"/>
        </w:rPr>
        <w:t xml:space="preserve"> and Titusville) to run two Fair Housing Public Service Announcements (PSA’S) on Space Coast Government TV throughout the year and sponsor a Housing Summit that included a Fair Housing Training Session.</w:t>
      </w:r>
    </w:p>
    <w:p w14:paraId="1FCBCBBE" w14:textId="5B7FEEF2" w:rsidR="006B37EE" w:rsidRPr="00FE7860" w:rsidRDefault="006B37EE" w:rsidP="006B37EE">
      <w:pPr>
        <w:autoSpaceDE w:val="0"/>
        <w:autoSpaceDN w:val="0"/>
        <w:adjustRightInd w:val="0"/>
        <w:spacing w:after="0" w:line="240" w:lineRule="auto"/>
        <w:rPr>
          <w:rFonts w:cs="Calibri"/>
          <w:sz w:val="24"/>
          <w:szCs w:val="24"/>
        </w:rPr>
      </w:pPr>
      <w:r w:rsidRPr="00FE7860">
        <w:rPr>
          <w:rFonts w:cs="Calibri"/>
          <w:sz w:val="24"/>
          <w:szCs w:val="24"/>
        </w:rPr>
        <w:t>The 2023-2028 Affirmatively Furthering Fair Housing Plan has been completed and</w:t>
      </w:r>
    </w:p>
    <w:p w14:paraId="6853F071" w14:textId="77777777" w:rsidR="006B37EE" w:rsidRPr="00FE7860" w:rsidRDefault="006B37EE" w:rsidP="006B37EE">
      <w:pPr>
        <w:autoSpaceDE w:val="0"/>
        <w:autoSpaceDN w:val="0"/>
        <w:adjustRightInd w:val="0"/>
        <w:spacing w:after="0" w:line="240" w:lineRule="auto"/>
        <w:rPr>
          <w:rFonts w:cs="Calibri"/>
          <w:sz w:val="24"/>
          <w:szCs w:val="24"/>
        </w:rPr>
      </w:pPr>
      <w:r w:rsidRPr="00FE7860">
        <w:rPr>
          <w:rFonts w:cs="Calibri"/>
          <w:sz w:val="24"/>
          <w:szCs w:val="24"/>
        </w:rPr>
        <w:t>developed through the collaborative efforts and input from County and City staff, local</w:t>
      </w:r>
    </w:p>
    <w:p w14:paraId="773C16A2" w14:textId="77777777" w:rsidR="006B37EE" w:rsidRPr="00FE7860" w:rsidRDefault="006B37EE" w:rsidP="006B37EE">
      <w:pPr>
        <w:autoSpaceDE w:val="0"/>
        <w:autoSpaceDN w:val="0"/>
        <w:adjustRightInd w:val="0"/>
        <w:spacing w:after="0" w:line="240" w:lineRule="auto"/>
        <w:rPr>
          <w:rFonts w:cs="Calibri"/>
          <w:sz w:val="24"/>
          <w:szCs w:val="24"/>
        </w:rPr>
      </w:pPr>
      <w:r w:rsidRPr="00FE7860">
        <w:rPr>
          <w:rFonts w:cs="Calibri"/>
          <w:sz w:val="24"/>
          <w:szCs w:val="24"/>
        </w:rPr>
        <w:t>and community-based non-profits, and for-profits; as well as residents. These efforts</w:t>
      </w:r>
    </w:p>
    <w:p w14:paraId="573D4128" w14:textId="55FE952D" w:rsidR="006B37EE" w:rsidRPr="00FE7860" w:rsidRDefault="006B37EE" w:rsidP="006B37EE">
      <w:pPr>
        <w:autoSpaceDE w:val="0"/>
        <w:autoSpaceDN w:val="0"/>
        <w:adjustRightInd w:val="0"/>
        <w:spacing w:after="0" w:line="240" w:lineRule="auto"/>
        <w:rPr>
          <w:rFonts w:cs="Calibri"/>
          <w:sz w:val="24"/>
          <w:szCs w:val="24"/>
        </w:rPr>
      </w:pPr>
      <w:r w:rsidRPr="00FE7860">
        <w:rPr>
          <w:rFonts w:cs="Calibri"/>
          <w:sz w:val="24"/>
          <w:szCs w:val="24"/>
        </w:rPr>
        <w:t>included a needs assessment survey, community and neighborhood meetings, and stake</w:t>
      </w:r>
    </w:p>
    <w:p w14:paraId="63F9828E" w14:textId="77777777" w:rsidR="006B37EE" w:rsidRPr="00FE7860" w:rsidRDefault="006B37EE" w:rsidP="006B37EE">
      <w:pPr>
        <w:autoSpaceDE w:val="0"/>
        <w:autoSpaceDN w:val="0"/>
        <w:adjustRightInd w:val="0"/>
        <w:spacing w:after="0" w:line="240" w:lineRule="auto"/>
        <w:rPr>
          <w:rFonts w:cs="Calibri"/>
          <w:sz w:val="24"/>
          <w:szCs w:val="24"/>
        </w:rPr>
      </w:pPr>
      <w:r w:rsidRPr="00FE7860">
        <w:rPr>
          <w:rFonts w:cs="Calibri"/>
          <w:sz w:val="24"/>
          <w:szCs w:val="24"/>
        </w:rPr>
        <w:t>holder meetings that were conducted throughout the County to identify goals, priorities,</w:t>
      </w:r>
    </w:p>
    <w:p w14:paraId="7612786B" w14:textId="77777777" w:rsidR="006B37EE" w:rsidRPr="00FE7860" w:rsidRDefault="006B37EE" w:rsidP="006B37EE">
      <w:pPr>
        <w:autoSpaceDE w:val="0"/>
        <w:autoSpaceDN w:val="0"/>
        <w:adjustRightInd w:val="0"/>
        <w:spacing w:after="0" w:line="240" w:lineRule="auto"/>
        <w:rPr>
          <w:rFonts w:cs="Calibri"/>
          <w:sz w:val="24"/>
          <w:szCs w:val="24"/>
        </w:rPr>
      </w:pPr>
      <w:r w:rsidRPr="00FE7860">
        <w:rPr>
          <w:rFonts w:cs="Calibri"/>
          <w:sz w:val="24"/>
          <w:szCs w:val="24"/>
        </w:rPr>
        <w:t>and activities to be included in the Plan. The County follows an adopted Citizen</w:t>
      </w:r>
    </w:p>
    <w:p w14:paraId="3DA2A439" w14:textId="77777777" w:rsidR="006B37EE" w:rsidRPr="00FE7860" w:rsidRDefault="006B37EE" w:rsidP="006B37EE">
      <w:pPr>
        <w:autoSpaceDE w:val="0"/>
        <w:autoSpaceDN w:val="0"/>
        <w:adjustRightInd w:val="0"/>
        <w:spacing w:after="0" w:line="240" w:lineRule="auto"/>
        <w:rPr>
          <w:rFonts w:cs="Calibri"/>
          <w:sz w:val="24"/>
          <w:szCs w:val="24"/>
        </w:rPr>
      </w:pPr>
      <w:r w:rsidRPr="00FE7860">
        <w:rPr>
          <w:rFonts w:cs="Calibri"/>
          <w:sz w:val="24"/>
          <w:szCs w:val="24"/>
        </w:rPr>
        <w:t>Participation Plan, which provides for scheduled public hearings and encourages</w:t>
      </w:r>
    </w:p>
    <w:p w14:paraId="2382E238" w14:textId="77777777" w:rsidR="006B37EE" w:rsidRPr="00FE7860" w:rsidRDefault="006B37EE" w:rsidP="006B37EE">
      <w:pPr>
        <w:autoSpaceDE w:val="0"/>
        <w:autoSpaceDN w:val="0"/>
        <w:adjustRightInd w:val="0"/>
        <w:spacing w:after="0" w:line="240" w:lineRule="auto"/>
        <w:rPr>
          <w:rFonts w:cs="Calibri"/>
          <w:sz w:val="24"/>
          <w:szCs w:val="24"/>
        </w:rPr>
      </w:pPr>
      <w:r w:rsidRPr="00FE7860">
        <w:rPr>
          <w:rFonts w:cs="Calibri"/>
          <w:sz w:val="24"/>
          <w:szCs w:val="24"/>
        </w:rPr>
        <w:t>citizens, service providers, and interested individuals to provide input and during the</w:t>
      </w:r>
    </w:p>
    <w:p w14:paraId="6F2D4B11" w14:textId="7A51DA38" w:rsidR="006B37EE" w:rsidRPr="00FE7860" w:rsidRDefault="006B37EE" w:rsidP="006B37EE">
      <w:pPr>
        <w:autoSpaceDE w:val="0"/>
        <w:autoSpaceDN w:val="0"/>
        <w:adjustRightInd w:val="0"/>
        <w:spacing w:after="0" w:line="240" w:lineRule="auto"/>
        <w:rPr>
          <w:rFonts w:cs="Calibri"/>
          <w:sz w:val="24"/>
          <w:szCs w:val="24"/>
        </w:rPr>
      </w:pPr>
      <w:r w:rsidRPr="00FE7860">
        <w:rPr>
          <w:rFonts w:cs="Calibri"/>
          <w:sz w:val="24"/>
          <w:szCs w:val="24"/>
        </w:rPr>
        <w:t>development of the Affirmatively Furthering Fair Housing Plan. Meetings were held at</w:t>
      </w:r>
    </w:p>
    <w:p w14:paraId="37A5CB61" w14:textId="77777777" w:rsidR="006B37EE" w:rsidRPr="00FE7860" w:rsidRDefault="006B37EE" w:rsidP="006B37EE">
      <w:pPr>
        <w:autoSpaceDE w:val="0"/>
        <w:autoSpaceDN w:val="0"/>
        <w:adjustRightInd w:val="0"/>
        <w:spacing w:after="0" w:line="240" w:lineRule="auto"/>
        <w:rPr>
          <w:rFonts w:cs="Calibri"/>
          <w:sz w:val="24"/>
          <w:szCs w:val="24"/>
        </w:rPr>
      </w:pPr>
      <w:r w:rsidRPr="00FE7860">
        <w:rPr>
          <w:rFonts w:cs="Calibri"/>
          <w:sz w:val="24"/>
          <w:szCs w:val="24"/>
        </w:rPr>
        <w:t>different stages of the process to provide the greatest possible citizen participation,</w:t>
      </w:r>
    </w:p>
    <w:p w14:paraId="6E7819FC" w14:textId="35EE42F7" w:rsidR="006B37EE" w:rsidRPr="00FE7860" w:rsidRDefault="006B37EE" w:rsidP="006B37EE">
      <w:pPr>
        <w:autoSpaceDE w:val="0"/>
        <w:autoSpaceDN w:val="0"/>
        <w:adjustRightInd w:val="0"/>
        <w:spacing w:after="0" w:line="240" w:lineRule="auto"/>
        <w:rPr>
          <w:rFonts w:cs="Calibri"/>
          <w:sz w:val="24"/>
          <w:szCs w:val="24"/>
        </w:rPr>
      </w:pPr>
      <w:r w:rsidRPr="00FE7860">
        <w:rPr>
          <w:rFonts w:cs="Calibri"/>
          <w:sz w:val="24"/>
          <w:szCs w:val="24"/>
        </w:rPr>
        <w:lastRenderedPageBreak/>
        <w:t xml:space="preserve">consultation, and partnership-building </w:t>
      </w:r>
      <w:proofErr w:type="spellStart"/>
      <w:r w:rsidRPr="00FE7860">
        <w:rPr>
          <w:rFonts w:cs="Calibri"/>
          <w:sz w:val="24"/>
          <w:szCs w:val="24"/>
        </w:rPr>
        <w:t>benefits.The</w:t>
      </w:r>
      <w:proofErr w:type="spellEnd"/>
      <w:r w:rsidRPr="00FE7860">
        <w:rPr>
          <w:rFonts w:cs="Calibri"/>
          <w:sz w:val="24"/>
          <w:szCs w:val="24"/>
        </w:rPr>
        <w:t xml:space="preserve"> 5 year Affirmatively Furthering Fair Housing Plan was approved by the Brevard County Board of County Commissioners in October 2023.</w:t>
      </w:r>
    </w:p>
    <w:p w14:paraId="6783FB00" w14:textId="77777777" w:rsidR="00A66ACB" w:rsidRPr="00FE7860" w:rsidRDefault="00A66ACB" w:rsidP="006B37EE">
      <w:pPr>
        <w:autoSpaceDE w:val="0"/>
        <w:autoSpaceDN w:val="0"/>
        <w:adjustRightInd w:val="0"/>
        <w:spacing w:after="0" w:line="240" w:lineRule="auto"/>
        <w:rPr>
          <w:rFonts w:cs="Calibri"/>
          <w:sz w:val="24"/>
          <w:szCs w:val="24"/>
        </w:rPr>
      </w:pPr>
    </w:p>
    <w:p w14:paraId="5594F3E7" w14:textId="15B12998" w:rsidR="00A66ACB" w:rsidRPr="00FE7860" w:rsidRDefault="00A66ACB" w:rsidP="006B37EE">
      <w:pPr>
        <w:autoSpaceDE w:val="0"/>
        <w:autoSpaceDN w:val="0"/>
        <w:adjustRightInd w:val="0"/>
        <w:spacing w:after="0" w:line="240" w:lineRule="auto"/>
        <w:rPr>
          <w:rFonts w:cs="Calibri"/>
          <w:sz w:val="24"/>
          <w:szCs w:val="24"/>
        </w:rPr>
      </w:pPr>
      <w:r w:rsidRPr="00FE7860">
        <w:rPr>
          <w:rFonts w:cs="Calibri"/>
          <w:sz w:val="24"/>
          <w:szCs w:val="24"/>
        </w:rPr>
        <w:t xml:space="preserve">Actions identified to overcome the </w:t>
      </w:r>
      <w:proofErr w:type="spellStart"/>
      <w:r w:rsidRPr="00FE7860">
        <w:rPr>
          <w:rFonts w:cs="Calibri"/>
          <w:sz w:val="24"/>
          <w:szCs w:val="24"/>
        </w:rPr>
        <w:t>effets</w:t>
      </w:r>
      <w:proofErr w:type="spellEnd"/>
      <w:r w:rsidRPr="00FE7860">
        <w:rPr>
          <w:rFonts w:cs="Calibri"/>
          <w:sz w:val="24"/>
          <w:szCs w:val="24"/>
        </w:rPr>
        <w:t xml:space="preserve"> of any impediments to fair housing choices include:</w:t>
      </w:r>
    </w:p>
    <w:p w14:paraId="093CA26D" w14:textId="3D01CFC5" w:rsidR="00A66ACB" w:rsidRPr="00FE7860" w:rsidRDefault="00A66ACB" w:rsidP="00077AB6">
      <w:pPr>
        <w:pStyle w:val="ListParagraph"/>
        <w:numPr>
          <w:ilvl w:val="0"/>
          <w:numId w:val="22"/>
        </w:numPr>
        <w:autoSpaceDE w:val="0"/>
        <w:autoSpaceDN w:val="0"/>
        <w:adjustRightInd w:val="0"/>
        <w:spacing w:before="240"/>
        <w:rPr>
          <w:rFonts w:cs="Calibri"/>
          <w:sz w:val="24"/>
          <w:szCs w:val="24"/>
        </w:rPr>
      </w:pPr>
      <w:r w:rsidRPr="00FE7860">
        <w:rPr>
          <w:rFonts w:cs="Calibri"/>
          <w:sz w:val="24"/>
          <w:szCs w:val="24"/>
        </w:rPr>
        <w:t xml:space="preserve">Provide Fair Housing Public Outreach and </w:t>
      </w:r>
      <w:r w:rsidR="00752140">
        <w:rPr>
          <w:rFonts w:cs="Calibri"/>
          <w:sz w:val="24"/>
          <w:szCs w:val="24"/>
        </w:rPr>
        <w:t>Education</w:t>
      </w:r>
    </w:p>
    <w:p w14:paraId="72BFBD23" w14:textId="56620774" w:rsidR="00A66ACB" w:rsidRPr="00FE7860" w:rsidRDefault="00A66ACB" w:rsidP="000D0DF2">
      <w:pPr>
        <w:pStyle w:val="Default"/>
        <w:numPr>
          <w:ilvl w:val="0"/>
          <w:numId w:val="21"/>
        </w:numPr>
        <w:ind w:left="1080"/>
        <w:rPr>
          <w:rFonts w:ascii="Calibri" w:hAnsi="Calibri" w:cs="Calibri"/>
        </w:rPr>
      </w:pPr>
      <w:r w:rsidRPr="00FE7860">
        <w:rPr>
          <w:rFonts w:ascii="Calibri" w:hAnsi="Calibri" w:cs="Calibri"/>
        </w:rPr>
        <w:t>Consult with the Consortium’s partner</w:t>
      </w:r>
      <w:r w:rsidR="00077AB6" w:rsidRPr="00FE7860">
        <w:rPr>
          <w:rFonts w:ascii="Calibri" w:hAnsi="Calibri" w:cs="Calibri"/>
        </w:rPr>
        <w:t xml:space="preserve"> </w:t>
      </w:r>
      <w:r w:rsidRPr="00FE7860">
        <w:rPr>
          <w:rFonts w:ascii="Calibri" w:hAnsi="Calibri" w:cs="Calibri"/>
        </w:rPr>
        <w:t xml:space="preserve">organizations to establish </w:t>
      </w:r>
      <w:proofErr w:type="spellStart"/>
      <w:r w:rsidRPr="00FE7860">
        <w:rPr>
          <w:rFonts w:ascii="Calibri" w:hAnsi="Calibri" w:cs="Calibri"/>
        </w:rPr>
        <w:t>commongoals</w:t>
      </w:r>
      <w:proofErr w:type="spellEnd"/>
      <w:r w:rsidRPr="00FE7860">
        <w:rPr>
          <w:rFonts w:ascii="Calibri" w:hAnsi="Calibri" w:cs="Calibri"/>
        </w:rPr>
        <w:t xml:space="preserve"> for providing fair housing</w:t>
      </w:r>
      <w:r w:rsidR="009A01DB">
        <w:rPr>
          <w:rFonts w:ascii="Calibri" w:hAnsi="Calibri" w:cs="Calibri"/>
        </w:rPr>
        <w:t xml:space="preserve"> </w:t>
      </w:r>
      <w:r w:rsidRPr="00FE7860">
        <w:rPr>
          <w:rFonts w:ascii="Calibri" w:hAnsi="Calibri" w:cs="Calibri"/>
        </w:rPr>
        <w:t>outreach and education across</w:t>
      </w:r>
      <w:r w:rsidR="009A01DB">
        <w:rPr>
          <w:rFonts w:ascii="Calibri" w:hAnsi="Calibri" w:cs="Calibri"/>
        </w:rPr>
        <w:t xml:space="preserve"> </w:t>
      </w:r>
      <w:r w:rsidRPr="00FE7860">
        <w:rPr>
          <w:rFonts w:ascii="Calibri" w:hAnsi="Calibri" w:cs="Calibri"/>
        </w:rPr>
        <w:t>Brevard County</w:t>
      </w:r>
      <w:r w:rsidR="00FE7860">
        <w:rPr>
          <w:rFonts w:ascii="Calibri" w:hAnsi="Calibri" w:cs="Calibri"/>
        </w:rPr>
        <w:t>;</w:t>
      </w:r>
    </w:p>
    <w:p w14:paraId="0CAED906" w14:textId="382B6D5B" w:rsidR="00A66ACB" w:rsidRPr="00FE7860" w:rsidRDefault="00A66ACB" w:rsidP="000D0DF2">
      <w:pPr>
        <w:pStyle w:val="Default"/>
        <w:numPr>
          <w:ilvl w:val="0"/>
          <w:numId w:val="21"/>
        </w:numPr>
        <w:ind w:left="1080"/>
        <w:rPr>
          <w:rFonts w:ascii="Calibri" w:hAnsi="Calibri" w:cs="Calibri"/>
        </w:rPr>
      </w:pPr>
      <w:r w:rsidRPr="00FE7860">
        <w:rPr>
          <w:rFonts w:ascii="Calibri" w:hAnsi="Calibri" w:cs="Calibri"/>
        </w:rPr>
        <w:t>Coordinate with the Consortium’s</w:t>
      </w:r>
      <w:r w:rsidR="000D0DF2">
        <w:rPr>
          <w:rFonts w:ascii="Calibri" w:hAnsi="Calibri" w:cs="Calibri"/>
        </w:rPr>
        <w:t xml:space="preserve"> </w:t>
      </w:r>
      <w:r w:rsidRPr="00FE7860">
        <w:rPr>
          <w:rFonts w:ascii="Calibri" w:hAnsi="Calibri" w:cs="Calibri"/>
        </w:rPr>
        <w:t>partners so that fair housing</w:t>
      </w:r>
      <w:r w:rsidR="00077AB6" w:rsidRPr="00FE7860">
        <w:rPr>
          <w:rFonts w:ascii="Calibri" w:hAnsi="Calibri" w:cs="Calibri"/>
        </w:rPr>
        <w:t xml:space="preserve"> </w:t>
      </w:r>
      <w:r w:rsidRPr="00FE7860">
        <w:rPr>
          <w:rFonts w:ascii="Calibri" w:hAnsi="Calibri" w:cs="Calibri"/>
        </w:rPr>
        <w:t>resources and information reflect</w:t>
      </w:r>
      <w:r w:rsidR="00077AB6" w:rsidRPr="00FE7860">
        <w:rPr>
          <w:rFonts w:ascii="Calibri" w:hAnsi="Calibri" w:cs="Calibri"/>
        </w:rPr>
        <w:t xml:space="preserve"> </w:t>
      </w:r>
      <w:r w:rsidRPr="00FE7860">
        <w:rPr>
          <w:rFonts w:ascii="Calibri" w:hAnsi="Calibri" w:cs="Calibri"/>
        </w:rPr>
        <w:t>what is currently available in the</w:t>
      </w:r>
      <w:r w:rsidR="00077AB6" w:rsidRPr="00FE7860">
        <w:rPr>
          <w:rFonts w:ascii="Calibri" w:hAnsi="Calibri" w:cs="Calibri"/>
        </w:rPr>
        <w:t xml:space="preserve"> </w:t>
      </w:r>
      <w:r w:rsidRPr="00FE7860">
        <w:rPr>
          <w:rFonts w:ascii="Calibri" w:hAnsi="Calibri" w:cs="Calibri"/>
        </w:rPr>
        <w:t>county and are updated routinely</w:t>
      </w:r>
      <w:r w:rsidR="00FE7860">
        <w:rPr>
          <w:rFonts w:ascii="Calibri" w:hAnsi="Calibri" w:cs="Calibri"/>
        </w:rPr>
        <w:t>;</w:t>
      </w:r>
      <w:r w:rsidR="00FE7860" w:rsidRPr="00FE7860">
        <w:rPr>
          <w:rFonts w:ascii="Calibri" w:hAnsi="Calibri" w:cs="Calibri"/>
        </w:rPr>
        <w:t xml:space="preserve"> </w:t>
      </w:r>
    </w:p>
    <w:p w14:paraId="2CCE0655" w14:textId="5670053A" w:rsidR="00A66ACB" w:rsidRPr="00FE7860" w:rsidRDefault="00A66ACB" w:rsidP="000D0DF2">
      <w:pPr>
        <w:pStyle w:val="Default"/>
        <w:numPr>
          <w:ilvl w:val="0"/>
          <w:numId w:val="21"/>
        </w:numPr>
        <w:ind w:left="1080"/>
        <w:rPr>
          <w:rFonts w:ascii="Calibri" w:hAnsi="Calibri" w:cs="Calibri"/>
        </w:rPr>
      </w:pPr>
      <w:r w:rsidRPr="00FE7860">
        <w:rPr>
          <w:rFonts w:ascii="Calibri" w:hAnsi="Calibri" w:cs="Calibri"/>
        </w:rPr>
        <w:t>Support interested parties in outlining</w:t>
      </w:r>
      <w:r w:rsidR="005B12A5">
        <w:rPr>
          <w:rFonts w:ascii="Calibri" w:hAnsi="Calibri" w:cs="Calibri"/>
        </w:rPr>
        <w:t xml:space="preserve"> </w:t>
      </w:r>
      <w:r w:rsidRPr="00FE7860">
        <w:rPr>
          <w:rFonts w:ascii="Calibri" w:hAnsi="Calibri" w:cs="Calibri"/>
        </w:rPr>
        <w:t xml:space="preserve">steps for reestablishing a local </w:t>
      </w:r>
      <w:proofErr w:type="spellStart"/>
      <w:r w:rsidRPr="00FE7860">
        <w:rPr>
          <w:rFonts w:ascii="Calibri" w:hAnsi="Calibri" w:cs="Calibri"/>
        </w:rPr>
        <w:t>fairhousing</w:t>
      </w:r>
      <w:proofErr w:type="spellEnd"/>
      <w:r w:rsidRPr="00FE7860">
        <w:rPr>
          <w:rFonts w:ascii="Calibri" w:hAnsi="Calibri" w:cs="Calibri"/>
        </w:rPr>
        <w:t xml:space="preserve"> organization, including</w:t>
      </w:r>
      <w:r w:rsidR="005B12A5">
        <w:rPr>
          <w:rFonts w:ascii="Calibri" w:hAnsi="Calibri" w:cs="Calibri"/>
        </w:rPr>
        <w:t xml:space="preserve"> </w:t>
      </w:r>
      <w:r w:rsidRPr="00FE7860">
        <w:rPr>
          <w:rFonts w:ascii="Calibri" w:hAnsi="Calibri" w:cs="Calibri"/>
        </w:rPr>
        <w:t>exploring funding needs and potential</w:t>
      </w:r>
      <w:r w:rsidR="00FE7860">
        <w:rPr>
          <w:rFonts w:ascii="Calibri" w:hAnsi="Calibri" w:cs="Calibri"/>
        </w:rPr>
        <w:t>.</w:t>
      </w:r>
    </w:p>
    <w:p w14:paraId="76D5B61B" w14:textId="77777777" w:rsidR="00A66ACB" w:rsidRPr="00FE7860" w:rsidRDefault="00A66ACB" w:rsidP="00FE7860">
      <w:pPr>
        <w:pStyle w:val="ListParagraph"/>
        <w:rPr>
          <w:rFonts w:ascii="Calibri" w:hAnsi="Calibri" w:cs="Calibri"/>
        </w:rPr>
      </w:pPr>
    </w:p>
    <w:p w14:paraId="3BF2D43B" w14:textId="77777777" w:rsidR="00A66ACB" w:rsidRPr="00FE7860" w:rsidRDefault="00A66ACB" w:rsidP="00A66ACB">
      <w:pPr>
        <w:pStyle w:val="Default"/>
        <w:numPr>
          <w:ilvl w:val="0"/>
          <w:numId w:val="22"/>
        </w:numPr>
        <w:rPr>
          <w:rFonts w:ascii="Calibri" w:hAnsi="Calibri" w:cs="Calibri"/>
        </w:rPr>
      </w:pPr>
      <w:r w:rsidRPr="00FE7860">
        <w:rPr>
          <w:rFonts w:ascii="Calibri" w:hAnsi="Calibri" w:cs="Calibri"/>
        </w:rPr>
        <w:t xml:space="preserve">Create </w:t>
      </w:r>
      <w:proofErr w:type="spellStart"/>
      <w:r w:rsidRPr="00FE7860">
        <w:rPr>
          <w:rFonts w:ascii="Calibri" w:hAnsi="Calibri" w:cs="Calibri"/>
        </w:rPr>
        <w:t>Afforable</w:t>
      </w:r>
      <w:proofErr w:type="spellEnd"/>
      <w:r w:rsidRPr="00FE7860">
        <w:rPr>
          <w:rFonts w:ascii="Calibri" w:hAnsi="Calibri" w:cs="Calibri"/>
        </w:rPr>
        <w:t xml:space="preserve"> Rental Housing Opportunities</w:t>
      </w:r>
    </w:p>
    <w:p w14:paraId="0C8F797B" w14:textId="0CF63AB7" w:rsidR="00A66ACB" w:rsidRPr="00E441ED" w:rsidRDefault="00A66ACB" w:rsidP="00077AB6">
      <w:pPr>
        <w:pStyle w:val="Default"/>
        <w:numPr>
          <w:ilvl w:val="0"/>
          <w:numId w:val="23"/>
        </w:numPr>
        <w:spacing w:before="240"/>
        <w:rPr>
          <w:rFonts w:ascii="Calibri" w:hAnsi="Calibri" w:cs="Calibri"/>
        </w:rPr>
      </w:pPr>
      <w:r w:rsidRPr="00E441ED">
        <w:rPr>
          <w:rFonts w:ascii="Calibri" w:hAnsi="Calibri" w:cs="Calibri"/>
        </w:rPr>
        <w:t xml:space="preserve">Issue an RFP to solicit proposals </w:t>
      </w:r>
      <w:proofErr w:type="spellStart"/>
      <w:r w:rsidRPr="00E441ED">
        <w:rPr>
          <w:rFonts w:ascii="Calibri" w:hAnsi="Calibri" w:cs="Calibri"/>
        </w:rPr>
        <w:t>todevelop</w:t>
      </w:r>
      <w:proofErr w:type="spellEnd"/>
      <w:r w:rsidRPr="00E441ED">
        <w:rPr>
          <w:rFonts w:ascii="Calibri" w:hAnsi="Calibri" w:cs="Calibri"/>
        </w:rPr>
        <w:t xml:space="preserve"> accessible, affordable rental</w:t>
      </w:r>
      <w:r w:rsidR="009A01DB">
        <w:rPr>
          <w:rFonts w:ascii="Calibri" w:hAnsi="Calibri" w:cs="Calibri"/>
        </w:rPr>
        <w:t xml:space="preserve"> </w:t>
      </w:r>
      <w:r w:rsidRPr="00E441ED">
        <w:rPr>
          <w:rFonts w:ascii="Calibri" w:hAnsi="Calibri" w:cs="Calibri"/>
        </w:rPr>
        <w:t>housing options that are available to</w:t>
      </w:r>
      <w:r w:rsidR="009A01DB">
        <w:rPr>
          <w:rFonts w:ascii="Calibri" w:hAnsi="Calibri" w:cs="Calibri"/>
        </w:rPr>
        <w:t xml:space="preserve"> </w:t>
      </w:r>
      <w:r w:rsidRPr="00E441ED">
        <w:rPr>
          <w:rFonts w:ascii="Calibri" w:hAnsi="Calibri" w:cs="Calibri"/>
        </w:rPr>
        <w:t>persons with disabilities</w:t>
      </w:r>
      <w:r w:rsidR="00752140" w:rsidRPr="00E441ED">
        <w:rPr>
          <w:rFonts w:ascii="Calibri" w:hAnsi="Calibri" w:cs="Calibri"/>
        </w:rPr>
        <w:t>;</w:t>
      </w:r>
    </w:p>
    <w:p w14:paraId="25C71BBF" w14:textId="23F52177" w:rsidR="00A66ACB" w:rsidRPr="00E441ED" w:rsidRDefault="00A66ACB" w:rsidP="00A66ACB">
      <w:pPr>
        <w:pStyle w:val="Default"/>
        <w:numPr>
          <w:ilvl w:val="0"/>
          <w:numId w:val="23"/>
        </w:numPr>
        <w:rPr>
          <w:rFonts w:ascii="Calibri" w:hAnsi="Calibri" w:cs="Calibri"/>
        </w:rPr>
      </w:pPr>
      <w:r w:rsidRPr="00E441ED">
        <w:rPr>
          <w:rFonts w:ascii="Calibri" w:hAnsi="Calibri" w:cs="Calibri"/>
        </w:rPr>
        <w:t>Develop HOME-ARP policies and</w:t>
      </w:r>
      <w:r w:rsidR="009A01DB">
        <w:rPr>
          <w:rFonts w:ascii="Calibri" w:hAnsi="Calibri" w:cs="Calibri"/>
        </w:rPr>
        <w:t xml:space="preserve"> </w:t>
      </w:r>
      <w:r w:rsidRPr="00E441ED">
        <w:rPr>
          <w:rFonts w:ascii="Calibri" w:hAnsi="Calibri" w:cs="Calibri"/>
        </w:rPr>
        <w:t>procedures to guide the use of the</w:t>
      </w:r>
      <w:r w:rsidR="009A01DB">
        <w:rPr>
          <w:rFonts w:ascii="Calibri" w:hAnsi="Calibri" w:cs="Calibri"/>
        </w:rPr>
        <w:t xml:space="preserve"> </w:t>
      </w:r>
      <w:r w:rsidRPr="00E441ED">
        <w:rPr>
          <w:rFonts w:ascii="Calibri" w:hAnsi="Calibri" w:cs="Calibri"/>
        </w:rPr>
        <w:t>Consortium’s one-time allocation of</w:t>
      </w:r>
      <w:r w:rsidR="009A01DB">
        <w:rPr>
          <w:rFonts w:ascii="Calibri" w:hAnsi="Calibri" w:cs="Calibri"/>
        </w:rPr>
        <w:t xml:space="preserve"> </w:t>
      </w:r>
      <w:r w:rsidRPr="00E441ED">
        <w:rPr>
          <w:rFonts w:ascii="Calibri" w:hAnsi="Calibri" w:cs="Calibri"/>
        </w:rPr>
        <w:t>HOME-ARP funding</w:t>
      </w:r>
      <w:r w:rsidR="00752140" w:rsidRPr="00E441ED">
        <w:rPr>
          <w:rFonts w:ascii="Calibri" w:hAnsi="Calibri" w:cs="Calibri"/>
        </w:rPr>
        <w:t>.</w:t>
      </w:r>
      <w:r w:rsidRPr="00E441ED">
        <w:rPr>
          <w:rFonts w:ascii="Calibri" w:hAnsi="Calibri" w:cs="Calibri"/>
        </w:rPr>
        <w:t xml:space="preserve"> </w:t>
      </w:r>
    </w:p>
    <w:p w14:paraId="1D8CE682" w14:textId="74279280" w:rsidR="00A66ACB" w:rsidRPr="00FE7860" w:rsidRDefault="000F68C6" w:rsidP="000F68C6">
      <w:pPr>
        <w:pStyle w:val="Default"/>
        <w:numPr>
          <w:ilvl w:val="0"/>
          <w:numId w:val="22"/>
        </w:numPr>
        <w:spacing w:before="240"/>
        <w:rPr>
          <w:rFonts w:ascii="Calibri" w:hAnsi="Calibri" w:cs="Calibri"/>
        </w:rPr>
      </w:pPr>
      <w:r w:rsidRPr="00FE7860">
        <w:rPr>
          <w:rFonts w:ascii="Calibri" w:hAnsi="Calibri" w:cs="Calibri"/>
        </w:rPr>
        <w:t>Align Planning Initiatives to increase access to Opportunity for Underserved residents across Brevard County</w:t>
      </w:r>
    </w:p>
    <w:p w14:paraId="4B0A1397" w14:textId="6277A18A" w:rsidR="002549A0" w:rsidRPr="00FE7860" w:rsidRDefault="000F68C6" w:rsidP="00077AB6">
      <w:pPr>
        <w:pStyle w:val="Default"/>
        <w:numPr>
          <w:ilvl w:val="0"/>
          <w:numId w:val="24"/>
        </w:numPr>
        <w:spacing w:before="240"/>
        <w:rPr>
          <w:rFonts w:ascii="Calibri" w:hAnsi="Calibri" w:cs="Calibri"/>
        </w:rPr>
      </w:pPr>
      <w:r w:rsidRPr="00FE7860">
        <w:rPr>
          <w:rFonts w:ascii="Calibri" w:hAnsi="Calibri" w:cs="Calibri"/>
        </w:rPr>
        <w:t>Participate in transportation planning meetings to provide input on the affordable housing needs of lower income households</w:t>
      </w:r>
      <w:r w:rsidR="002549A0" w:rsidRPr="00FE7860">
        <w:rPr>
          <w:rFonts w:ascii="Calibri" w:hAnsi="Calibri" w:cs="Calibri"/>
        </w:rPr>
        <w:t xml:space="preserve">, underserved </w:t>
      </w:r>
      <w:proofErr w:type="gramStart"/>
      <w:r w:rsidR="002549A0" w:rsidRPr="00FE7860">
        <w:rPr>
          <w:rFonts w:ascii="Calibri" w:hAnsi="Calibri" w:cs="Calibri"/>
        </w:rPr>
        <w:t>communities</w:t>
      </w:r>
      <w:proofErr w:type="gramEnd"/>
      <w:r w:rsidR="002549A0" w:rsidRPr="00FE7860">
        <w:rPr>
          <w:rFonts w:ascii="Calibri" w:hAnsi="Calibri" w:cs="Calibri"/>
        </w:rPr>
        <w:t xml:space="preserve"> and protected classes</w:t>
      </w:r>
      <w:r w:rsidR="00752140">
        <w:rPr>
          <w:rFonts w:ascii="Calibri" w:hAnsi="Calibri" w:cs="Calibri"/>
        </w:rPr>
        <w:t>;</w:t>
      </w:r>
    </w:p>
    <w:p w14:paraId="24C1BC5B" w14:textId="227D26D7" w:rsidR="002549A0" w:rsidRPr="00FE7860" w:rsidRDefault="002549A0" w:rsidP="000F68C6">
      <w:pPr>
        <w:pStyle w:val="Default"/>
        <w:numPr>
          <w:ilvl w:val="0"/>
          <w:numId w:val="24"/>
        </w:numPr>
        <w:rPr>
          <w:rFonts w:ascii="Calibri" w:hAnsi="Calibri" w:cs="Calibri"/>
        </w:rPr>
      </w:pPr>
      <w:r w:rsidRPr="00FE7860">
        <w:rPr>
          <w:rFonts w:ascii="Calibri" w:hAnsi="Calibri" w:cs="Calibri"/>
        </w:rPr>
        <w:t>Advocate for further study of the relationship between housing and transportation</w:t>
      </w:r>
      <w:r w:rsidR="00752140">
        <w:rPr>
          <w:rFonts w:ascii="Calibri" w:hAnsi="Calibri" w:cs="Calibri"/>
        </w:rPr>
        <w:t>;</w:t>
      </w:r>
    </w:p>
    <w:p w14:paraId="10357502" w14:textId="53C948B2" w:rsidR="000F68C6" w:rsidRPr="00FE7860" w:rsidRDefault="002549A0" w:rsidP="000F68C6">
      <w:pPr>
        <w:pStyle w:val="Default"/>
        <w:numPr>
          <w:ilvl w:val="0"/>
          <w:numId w:val="24"/>
        </w:numPr>
        <w:rPr>
          <w:rFonts w:ascii="Calibri" w:hAnsi="Calibri" w:cs="Calibri"/>
        </w:rPr>
      </w:pPr>
      <w:r w:rsidRPr="00FE7860">
        <w:rPr>
          <w:rFonts w:ascii="Calibri" w:hAnsi="Calibri" w:cs="Calibri"/>
        </w:rPr>
        <w:t xml:space="preserve">Work with agencies to encourage connectivity between transit systems, affordable </w:t>
      </w:r>
      <w:proofErr w:type="gramStart"/>
      <w:r w:rsidRPr="00FE7860">
        <w:rPr>
          <w:rFonts w:ascii="Calibri" w:hAnsi="Calibri" w:cs="Calibri"/>
        </w:rPr>
        <w:t>housing</w:t>
      </w:r>
      <w:proofErr w:type="gramEnd"/>
      <w:r w:rsidRPr="00FE7860">
        <w:rPr>
          <w:rFonts w:ascii="Calibri" w:hAnsi="Calibri" w:cs="Calibri"/>
        </w:rPr>
        <w:t xml:space="preserve"> and employment centers in the county.</w:t>
      </w:r>
    </w:p>
    <w:p w14:paraId="3CE5CA97" w14:textId="77777777" w:rsidR="00355CF4" w:rsidRPr="00355CF4" w:rsidRDefault="00355CF4" w:rsidP="00355CF4">
      <w:pPr>
        <w:ind w:left="630"/>
        <w:rPr>
          <w:rFonts w:cstheme="minorHAnsi"/>
          <w:sz w:val="24"/>
          <w:szCs w:val="24"/>
        </w:rPr>
      </w:pPr>
    </w:p>
    <w:p w14:paraId="6D7F1A14" w14:textId="77777777" w:rsidR="004E7119" w:rsidRDefault="002A3363">
      <w:pPr>
        <w:pStyle w:val="Heading2"/>
        <w:pageBreakBefore/>
        <w:widowControl w:val="0"/>
        <w:rPr>
          <w:rFonts w:ascii="Calibri" w:hAnsi="Calibri"/>
          <w:i w:val="0"/>
        </w:rPr>
      </w:pPr>
      <w:r>
        <w:rPr>
          <w:rFonts w:ascii="Calibri" w:hAnsi="Calibri"/>
          <w:i w:val="0"/>
        </w:rPr>
        <w:lastRenderedPageBreak/>
        <w:t>CR-40 - Monitoring 91.220 and 91.230</w:t>
      </w:r>
    </w:p>
    <w:p w14:paraId="40185A64" w14:textId="77777777" w:rsidR="004E7119" w:rsidRDefault="002A3363">
      <w:pPr>
        <w:widowControl w:val="0"/>
        <w:rPr>
          <w:b/>
          <w:sz w:val="24"/>
          <w:szCs w:val="24"/>
        </w:rPr>
      </w:pPr>
      <w:r>
        <w:rPr>
          <w:b/>
          <w:sz w:val="24"/>
          <w:szCs w:val="24"/>
        </w:rPr>
        <w:t>Describe the standards and procedures used to monitor activities carried out in furtherance of the plan and used to ensure long-term compliance with requirements of the programs involved, including minority business outreach and the comprehensive planning requirements</w:t>
      </w:r>
    </w:p>
    <w:p w14:paraId="50085E94" w14:textId="77777777" w:rsidR="00443105" w:rsidRPr="00443105" w:rsidRDefault="00443105" w:rsidP="00443105">
      <w:pPr>
        <w:widowControl w:val="0"/>
        <w:spacing w:beforeAutospacing="1" w:afterAutospacing="1"/>
        <w:rPr>
          <w:rFonts w:cs="Arial"/>
        </w:rPr>
      </w:pPr>
      <w:r w:rsidRPr="00E70073">
        <w:rPr>
          <w:rFonts w:cs="Arial"/>
        </w:rPr>
        <w:t xml:space="preserve">Annually, the County will monitor HOME Investment Partnerships Program assisted rental units to ensure that units comply with HOME Investment Partnerships Program requirements throughout the period of affordability. The County will monitor the following HOME Investment Partnerships Program compliance areas during the affordability period: HOME Investment Partnerships Program low income and rent limit requirements, low income eligibility verification and recertification, tenant leases, affirmative marketing, housing inspection property standards and unit mix. The County's monitoring plan will </w:t>
      </w:r>
      <w:proofErr w:type="gramStart"/>
      <w:r w:rsidRPr="00E70073">
        <w:rPr>
          <w:rFonts w:cs="Arial"/>
        </w:rPr>
        <w:t>include:</w:t>
      </w:r>
      <w:proofErr w:type="gramEnd"/>
      <w:r w:rsidRPr="00E70073">
        <w:rPr>
          <w:rFonts w:cs="Arial"/>
        </w:rPr>
        <w:t xml:space="preserve"> monitoring objectives, risk assessment (to include level and type of review), schedule, procedures, reporting, technical assistance, and file management to ensure compliance with record-keeping requirements.</w:t>
      </w:r>
      <w:r w:rsidRPr="00443105">
        <w:rPr>
          <w:rFonts w:cs="Arial"/>
        </w:rPr>
        <w:t> </w:t>
      </w:r>
    </w:p>
    <w:p w14:paraId="7EB977B7" w14:textId="73328FA2" w:rsidR="004E7119" w:rsidRDefault="002A3363">
      <w:pPr>
        <w:widowControl w:val="0"/>
        <w:spacing w:beforeAutospacing="1" w:afterAutospacing="1"/>
        <w:rPr>
          <w:rFonts w:cs="Arial"/>
        </w:rPr>
      </w:pPr>
      <w:r>
        <w:rPr>
          <w:rFonts w:cs="Arial"/>
        </w:rPr>
        <w:t>During fiscal year 202</w:t>
      </w:r>
      <w:r w:rsidR="00443105">
        <w:rPr>
          <w:rFonts w:cs="Arial"/>
        </w:rPr>
        <w:t>3</w:t>
      </w:r>
      <w:r>
        <w:rPr>
          <w:rFonts w:cs="Arial"/>
        </w:rPr>
        <w:t>-202</w:t>
      </w:r>
      <w:r w:rsidR="00443105">
        <w:rPr>
          <w:rFonts w:cs="Arial"/>
        </w:rPr>
        <w:t>4</w:t>
      </w:r>
      <w:r>
        <w:rPr>
          <w:rFonts w:cs="Arial"/>
        </w:rPr>
        <w:t xml:space="preserve">, Brevard County </w:t>
      </w:r>
      <w:r w:rsidRPr="00E70073">
        <w:rPr>
          <w:rFonts w:cs="Arial"/>
        </w:rPr>
        <w:t>conducted site monitoring</w:t>
      </w:r>
      <w:r>
        <w:rPr>
          <w:rFonts w:cs="Arial"/>
        </w:rPr>
        <w:t xml:space="preserve"> reviews for the Consortium members. Each member of the Consortium monitors the terms and conditions of every contract with sub-recipients that receive federal funds. Monitoring's include review of contractual compliance, monthly performance reports, eligibility of expenditures, documentation of income eligibility, adherence to the period of affordability, and compliance with minimum/maximum rent limits. </w:t>
      </w:r>
    </w:p>
    <w:p w14:paraId="7DCA74A6" w14:textId="77777777" w:rsidR="0028480F" w:rsidRPr="00894F96" w:rsidRDefault="0028480F" w:rsidP="0028480F">
      <w:pPr>
        <w:widowControl w:val="0"/>
        <w:spacing w:beforeAutospacing="1" w:afterAutospacing="1"/>
        <w:rPr>
          <w:color w:val="000000" w:themeColor="text1"/>
        </w:rPr>
      </w:pPr>
      <w:r w:rsidRPr="00894F96">
        <w:rPr>
          <w:rFonts w:cs="Arial"/>
          <w:color w:val="000000" w:themeColor="text1"/>
        </w:rPr>
        <w:t>The County is responsible for managing the day-to-day operations of their CDBG Program and ensuring that CDBG funds are being carried out in accordance with program requirements. Monitoring reviews will consist of program or project performance and compliance. The County will monitor CDBG and CDBG-CV Public Services Program Activities to ensure compliance by the subrecipient with the agreement terms and conditions and with all applicable rules and regulations governing their administrative, financial, and programmatic operations. The monitoring will include monitoring objectives, risk assessment (to include level and type of review), schedule, procedures, reporting, technical assistance, and file management. </w:t>
      </w:r>
    </w:p>
    <w:p w14:paraId="5AE9FC90" w14:textId="6C3F3736" w:rsidR="0028480F" w:rsidRPr="00894F96" w:rsidRDefault="0028480F" w:rsidP="0028480F">
      <w:pPr>
        <w:widowControl w:val="0"/>
        <w:spacing w:beforeAutospacing="1" w:afterAutospacing="1"/>
        <w:rPr>
          <w:rFonts w:cs="Arial"/>
          <w:color w:val="000000" w:themeColor="text1"/>
        </w:rPr>
      </w:pPr>
      <w:r w:rsidRPr="00894F96">
        <w:rPr>
          <w:rFonts w:cs="Arial"/>
          <w:color w:val="000000" w:themeColor="text1"/>
        </w:rPr>
        <w:t xml:space="preserve">The County will </w:t>
      </w:r>
      <w:r w:rsidR="00350482" w:rsidRPr="00894F96">
        <w:rPr>
          <w:rFonts w:cs="Arial"/>
          <w:color w:val="000000" w:themeColor="text1"/>
        </w:rPr>
        <w:t xml:space="preserve">continue to </w:t>
      </w:r>
      <w:r w:rsidRPr="00894F96">
        <w:rPr>
          <w:rFonts w:cs="Arial"/>
          <w:color w:val="000000" w:themeColor="text1"/>
        </w:rPr>
        <w:t>monitor CDBG Capital Improvement Project Activities</w:t>
      </w:r>
      <w:r w:rsidR="005D22ED" w:rsidRPr="00894F96">
        <w:rPr>
          <w:rFonts w:cs="Arial"/>
          <w:color w:val="000000" w:themeColor="text1"/>
        </w:rPr>
        <w:t xml:space="preserve"> </w:t>
      </w:r>
    </w:p>
    <w:p w14:paraId="2C32B565" w14:textId="77777777" w:rsidR="004E7119" w:rsidRDefault="002A3363">
      <w:pPr>
        <w:widowControl w:val="0"/>
        <w:spacing w:beforeAutospacing="1" w:afterAutospacing="1"/>
        <w:rPr>
          <w:rFonts w:cs="Arial"/>
        </w:rPr>
      </w:pPr>
      <w:r>
        <w:rPr>
          <w:rFonts w:cs="Arial"/>
        </w:rPr>
        <w:t>Each member of the Consortium follows established affirmative marketing steps to ensure low-income residents/businesses, minority firms, women businesses and labor surplus area firms are considered and if possible, utilized in accordance with 24 CFR Part 85.36(e). Additional efforts include online availability to view bid opportunities for various HOME Investment Partnerships Program and/or Community Development Block Grant activities. </w:t>
      </w:r>
    </w:p>
    <w:p w14:paraId="5723D6BE" w14:textId="77777777" w:rsidR="00E70073" w:rsidRDefault="00E70073">
      <w:pPr>
        <w:widowControl w:val="0"/>
        <w:rPr>
          <w:b/>
          <w:sz w:val="24"/>
          <w:szCs w:val="24"/>
        </w:rPr>
      </w:pPr>
    </w:p>
    <w:p w14:paraId="2EB5B3FB" w14:textId="77777777" w:rsidR="00F1370F" w:rsidRDefault="00F1370F">
      <w:pPr>
        <w:widowControl w:val="0"/>
        <w:rPr>
          <w:b/>
          <w:sz w:val="24"/>
          <w:szCs w:val="24"/>
        </w:rPr>
      </w:pPr>
    </w:p>
    <w:p w14:paraId="4A52DA02" w14:textId="05C34188" w:rsidR="004E7119" w:rsidRDefault="002A3363">
      <w:pPr>
        <w:widowControl w:val="0"/>
        <w:rPr>
          <w:b/>
          <w:sz w:val="24"/>
          <w:szCs w:val="24"/>
        </w:rPr>
      </w:pPr>
      <w:r>
        <w:rPr>
          <w:b/>
          <w:sz w:val="24"/>
          <w:szCs w:val="24"/>
        </w:rPr>
        <w:lastRenderedPageBreak/>
        <w:t>Citizen Participation Plan 91.105(d); 91.115(d)</w:t>
      </w:r>
    </w:p>
    <w:p w14:paraId="678262E7" w14:textId="77777777" w:rsidR="004E7119" w:rsidRDefault="002A3363">
      <w:pPr>
        <w:widowControl w:val="0"/>
        <w:rPr>
          <w:sz w:val="24"/>
          <w:szCs w:val="24"/>
        </w:rPr>
      </w:pPr>
      <w:r>
        <w:rPr>
          <w:b/>
          <w:sz w:val="24"/>
          <w:szCs w:val="24"/>
        </w:rPr>
        <w:t>Describe the efforts to provide citizens with reasonable notice and an opportunity to comment on performance reports</w:t>
      </w:r>
      <w:r>
        <w:rPr>
          <w:sz w:val="24"/>
          <w:szCs w:val="24"/>
        </w:rPr>
        <w:t>.</w:t>
      </w:r>
    </w:p>
    <w:p w14:paraId="10193281" w14:textId="19792C89" w:rsidR="004E7119" w:rsidRDefault="002A3363">
      <w:pPr>
        <w:spacing w:beforeAutospacing="1" w:afterAutospacing="1"/>
      </w:pPr>
      <w:r>
        <w:t xml:space="preserve">Brevard County announced the fiscal </w:t>
      </w:r>
      <w:r w:rsidRPr="00E70073">
        <w:t>year 202</w:t>
      </w:r>
      <w:r w:rsidR="005F20D3" w:rsidRPr="00E70073">
        <w:t>3</w:t>
      </w:r>
      <w:r w:rsidRPr="00E70073">
        <w:t>-202</w:t>
      </w:r>
      <w:r w:rsidR="005F20D3" w:rsidRPr="00E70073">
        <w:t>4</w:t>
      </w:r>
      <w:r w:rsidRPr="00E70073">
        <w:t xml:space="preserve"> Consolidated Annual Performance Evaluation Report in the Florida Today newspaper on December </w:t>
      </w:r>
      <w:r w:rsidR="00F1370F">
        <w:t>4</w:t>
      </w:r>
      <w:r w:rsidRPr="00E70073">
        <w:t>, 202</w:t>
      </w:r>
      <w:r w:rsidR="005F20D3" w:rsidRPr="00E70073">
        <w:t>4</w:t>
      </w:r>
      <w:r w:rsidRPr="00E70073">
        <w:t xml:space="preserve">. The plan was available to the public from December </w:t>
      </w:r>
      <w:r w:rsidR="00F1370F">
        <w:t>4</w:t>
      </w:r>
      <w:r w:rsidRPr="00E70073">
        <w:t>, 202</w:t>
      </w:r>
      <w:r w:rsidR="005F20D3" w:rsidRPr="00E70073">
        <w:t>4</w:t>
      </w:r>
      <w:r w:rsidRPr="00E70073">
        <w:t xml:space="preserve"> through 5:00 p.m. December 1</w:t>
      </w:r>
      <w:r w:rsidR="00F1370F">
        <w:t>9</w:t>
      </w:r>
      <w:r w:rsidRPr="00E70073">
        <w:t>, 202</w:t>
      </w:r>
      <w:r w:rsidR="005F20D3" w:rsidRPr="00E70073">
        <w:t>4</w:t>
      </w:r>
      <w:r w:rsidRPr="00E70073">
        <w:t>. Both the advertisement and the Brevard County website provided information on where to review the report</w:t>
      </w:r>
      <w:r>
        <w:t xml:space="preserve">. Written copies of the Consolidated Annual Performance Evaluation Report were made available in the Brevard County Housing and Human Services office in Viera; each of the member City offices in Titusville, Cocoa, Melbourne, and Palm Bay; the Catherine Schweinsberg Rood Central Library, the Franklin T. DeGroodt Public Library, and the Titusville Public Library. </w:t>
      </w:r>
    </w:p>
    <w:p w14:paraId="31B338A2" w14:textId="77777777" w:rsidR="004E7119" w:rsidRDefault="002A3363">
      <w:pPr>
        <w:keepNext/>
        <w:pageBreakBefore/>
        <w:widowControl w:val="0"/>
        <w:spacing w:before="240" w:after="60"/>
        <w:outlineLvl w:val="1"/>
        <w:rPr>
          <w:rFonts w:cs="Arial"/>
          <w:b/>
          <w:bCs/>
          <w:iCs/>
          <w:sz w:val="28"/>
          <w:szCs w:val="28"/>
        </w:rPr>
      </w:pPr>
      <w:r>
        <w:rPr>
          <w:rFonts w:cs="Arial"/>
          <w:b/>
          <w:bCs/>
          <w:iCs/>
          <w:sz w:val="28"/>
          <w:szCs w:val="28"/>
        </w:rPr>
        <w:lastRenderedPageBreak/>
        <w:t>CR-45 - CDBG 91.520(c)</w:t>
      </w:r>
    </w:p>
    <w:p w14:paraId="18B50D00" w14:textId="641E0415" w:rsidR="004E7119" w:rsidRPr="00E70073" w:rsidRDefault="002A3363">
      <w:pPr>
        <w:widowControl w:val="0"/>
        <w:rPr>
          <w:b/>
          <w:sz w:val="24"/>
          <w:szCs w:val="24"/>
        </w:rPr>
      </w:pPr>
      <w:r>
        <w:rPr>
          <w:b/>
          <w:sz w:val="24"/>
          <w:szCs w:val="24"/>
        </w:rPr>
        <w:t xml:space="preserve">Specify the nature of, and reasons for, any changes in the jurisdiction’s program objectives and indications of how the jurisdiction would change its programs </w:t>
      </w:r>
      <w:proofErr w:type="gramStart"/>
      <w:r>
        <w:rPr>
          <w:b/>
          <w:sz w:val="24"/>
          <w:szCs w:val="24"/>
        </w:rPr>
        <w:t>as a result of</w:t>
      </w:r>
      <w:proofErr w:type="gramEnd"/>
      <w:r>
        <w:rPr>
          <w:b/>
          <w:sz w:val="24"/>
          <w:szCs w:val="24"/>
        </w:rPr>
        <w:t xml:space="preserve"> its experiences.</w:t>
      </w:r>
    </w:p>
    <w:p w14:paraId="008BC237" w14:textId="2E57E002" w:rsidR="00B555E8" w:rsidRDefault="00B555E8" w:rsidP="00B555E8">
      <w:pPr>
        <w:widowControl w:val="0"/>
        <w:rPr>
          <w:rFonts w:cs="Arial"/>
        </w:rPr>
      </w:pPr>
      <w:r>
        <w:rPr>
          <w:rFonts w:cs="Arial"/>
        </w:rPr>
        <w:t>Brevard County proposes to amend the 2023-2024 CDBG funds in the A</w:t>
      </w:r>
      <w:r w:rsidR="001200A2">
        <w:rPr>
          <w:rFonts w:cs="Arial"/>
        </w:rPr>
        <w:t xml:space="preserve">nnual </w:t>
      </w:r>
      <w:r>
        <w:rPr>
          <w:rFonts w:cs="Arial"/>
        </w:rPr>
        <w:t>A</w:t>
      </w:r>
      <w:r w:rsidR="001200A2">
        <w:rPr>
          <w:rFonts w:cs="Arial"/>
        </w:rPr>
        <w:t xml:space="preserve">ction </w:t>
      </w:r>
      <w:r>
        <w:rPr>
          <w:rFonts w:cs="Arial"/>
        </w:rPr>
        <w:t>P</w:t>
      </w:r>
      <w:r w:rsidR="001200A2">
        <w:rPr>
          <w:rFonts w:cs="Arial"/>
        </w:rPr>
        <w:t>lan</w:t>
      </w:r>
      <w:r>
        <w:rPr>
          <w:rFonts w:cs="Arial"/>
        </w:rPr>
        <w:t xml:space="preserve"> to use </w:t>
      </w:r>
      <w:proofErr w:type="spellStart"/>
      <w:r>
        <w:rPr>
          <w:rFonts w:cs="Arial"/>
        </w:rPr>
        <w:t>unemcumbered</w:t>
      </w:r>
      <w:proofErr w:type="spellEnd"/>
      <w:r>
        <w:rPr>
          <w:rFonts w:cs="Arial"/>
        </w:rPr>
        <w:t xml:space="preserve"> funds for the payoff or defeasement of Section 108 Loan used to fund the installation of a waterline in the West Canaveral Groves neighborhood Strategy Area. </w:t>
      </w:r>
    </w:p>
    <w:p w14:paraId="74C08054" w14:textId="0CA66996" w:rsidR="004E7119" w:rsidRDefault="002A3363" w:rsidP="00B555E8">
      <w:pPr>
        <w:widowControl w:val="0"/>
        <w:rPr>
          <w:b/>
          <w:sz w:val="24"/>
          <w:szCs w:val="24"/>
        </w:rPr>
      </w:pPr>
      <w:r>
        <w:rPr>
          <w:b/>
          <w:sz w:val="24"/>
          <w:szCs w:val="24"/>
        </w:rPr>
        <w:t>Does this Jurisdiction have any open Brownfields Economic Development Initiative (BEDI) grants?</w:t>
      </w:r>
    </w:p>
    <w:p w14:paraId="180813B9" w14:textId="77777777" w:rsidR="004E7119" w:rsidRDefault="002A3363">
      <w:pPr>
        <w:widowControl w:val="0"/>
        <w:spacing w:beforeAutospacing="1" w:afterAutospacing="1"/>
        <w:rPr>
          <w:rFonts w:cs="Arial"/>
        </w:rPr>
      </w:pPr>
      <w:r>
        <w:rPr>
          <w:rFonts w:cs="Arial"/>
        </w:rPr>
        <w:t>No</w:t>
      </w:r>
    </w:p>
    <w:p w14:paraId="08E967C4" w14:textId="77777777" w:rsidR="004E7119" w:rsidRDefault="002A3363">
      <w:pPr>
        <w:widowControl w:val="0"/>
        <w:rPr>
          <w:b/>
          <w:sz w:val="24"/>
          <w:szCs w:val="24"/>
        </w:rPr>
      </w:pPr>
      <w:r>
        <w:rPr>
          <w:b/>
          <w:sz w:val="24"/>
          <w:szCs w:val="24"/>
        </w:rPr>
        <w:t>[BEDI grantees]  Describe accomplishments and program outcomes during the last year.</w:t>
      </w:r>
    </w:p>
    <w:p w14:paraId="7D3E8F95" w14:textId="77777777" w:rsidR="004E7119" w:rsidRDefault="004E7119">
      <w:pPr>
        <w:widowControl w:val="0"/>
        <w:rPr>
          <w:rFonts w:cs="Arial"/>
        </w:rPr>
      </w:pPr>
    </w:p>
    <w:p w14:paraId="64174EF9" w14:textId="77777777" w:rsidR="004E7119" w:rsidRDefault="004E7119"/>
    <w:p w14:paraId="6D3D8C6F" w14:textId="77777777" w:rsidR="004E7119" w:rsidRDefault="004E7119"/>
    <w:p w14:paraId="6D416054" w14:textId="77777777" w:rsidR="004E7119" w:rsidRDefault="002A3363">
      <w:pPr>
        <w:pStyle w:val="Heading2"/>
        <w:pageBreakBefore/>
        <w:widowControl w:val="0"/>
        <w:rPr>
          <w:rFonts w:ascii="Calibri" w:hAnsi="Calibri"/>
          <w:i w:val="0"/>
        </w:rPr>
      </w:pPr>
      <w:r>
        <w:rPr>
          <w:rFonts w:ascii="Calibri" w:hAnsi="Calibri"/>
          <w:i w:val="0"/>
        </w:rPr>
        <w:lastRenderedPageBreak/>
        <w:t>CR-50 - HOME 24 CFR 91.520(d)</w:t>
      </w:r>
    </w:p>
    <w:p w14:paraId="001966D6" w14:textId="77777777" w:rsidR="004E7119" w:rsidRDefault="002A3363">
      <w:pPr>
        <w:widowControl w:val="0"/>
        <w:rPr>
          <w:b/>
          <w:sz w:val="24"/>
          <w:szCs w:val="24"/>
        </w:rPr>
      </w:pPr>
      <w:r>
        <w:rPr>
          <w:b/>
          <w:sz w:val="24"/>
          <w:szCs w:val="24"/>
        </w:rPr>
        <w:t xml:space="preserve">Include the results of on-site inspections of affordable rental housing assisted under the program to determine compliance with housing codes and other applicable regulations </w:t>
      </w:r>
    </w:p>
    <w:p w14:paraId="698ADE01" w14:textId="77777777" w:rsidR="004E7119" w:rsidRDefault="002A3363">
      <w:pPr>
        <w:widowControl w:val="0"/>
        <w:rPr>
          <w:sz w:val="24"/>
          <w:szCs w:val="24"/>
        </w:rPr>
      </w:pPr>
      <w:r>
        <w:rPr>
          <w:sz w:val="24"/>
          <w:szCs w:val="24"/>
        </w:rPr>
        <w:t>Please list those projects that should have been inspected on-site this program year based upon the schedule in 24 CFR</w:t>
      </w:r>
      <w:r>
        <w:t xml:space="preserve"> </w:t>
      </w:r>
      <w:r>
        <w:rPr>
          <w:sz w:val="24"/>
          <w:szCs w:val="24"/>
        </w:rPr>
        <w:t>§92.504(d). Indicate which of these were inspected and a summary of issues that were detected during the inspection. For those that were not inspected, please indicate the reason and how you will remedy the situation.</w:t>
      </w:r>
    </w:p>
    <w:p w14:paraId="1F176C98" w14:textId="51C7A860" w:rsidR="003316DF" w:rsidRPr="00A0185C" w:rsidRDefault="00865EE4" w:rsidP="00865EE4">
      <w:pPr>
        <w:autoSpaceDE w:val="0"/>
        <w:autoSpaceDN w:val="0"/>
        <w:adjustRightInd w:val="0"/>
        <w:rPr>
          <w:rFonts w:asciiTheme="minorHAnsi" w:hAnsiTheme="minorHAnsi" w:cstheme="minorHAnsi"/>
          <w:bCs/>
          <w:sz w:val="24"/>
          <w:szCs w:val="24"/>
        </w:rPr>
      </w:pPr>
      <w:r w:rsidRPr="00A0185C">
        <w:rPr>
          <w:rFonts w:asciiTheme="minorHAnsi" w:hAnsiTheme="minorHAnsi" w:cstheme="minorHAnsi"/>
          <w:b/>
          <w:sz w:val="24"/>
          <w:szCs w:val="24"/>
        </w:rPr>
        <w:t xml:space="preserve">Harlan Property Development: </w:t>
      </w:r>
      <w:r w:rsidRPr="00A0185C">
        <w:rPr>
          <w:rFonts w:asciiTheme="minorHAnsi" w:hAnsiTheme="minorHAnsi" w:cstheme="minorHAnsi"/>
          <w:bCs/>
          <w:sz w:val="24"/>
          <w:szCs w:val="24"/>
        </w:rPr>
        <w:t xml:space="preserve">2966, 2970, 2974 Silver Pines Dr, Rockledge. </w:t>
      </w:r>
      <w:r w:rsidR="003316DF" w:rsidRPr="00A0185C">
        <w:rPr>
          <w:rFonts w:asciiTheme="minorHAnsi" w:hAnsiTheme="minorHAnsi" w:cstheme="minorHAnsi"/>
          <w:sz w:val="24"/>
          <w:szCs w:val="24"/>
        </w:rPr>
        <w:t>Units 2966 and 2974 passed. Unit 2970 was not scheduled for inspection this fiscal year due to staff reassignments, but will be scheduled in FY 24-25</w:t>
      </w:r>
    </w:p>
    <w:p w14:paraId="3C4341F9" w14:textId="22F4A981" w:rsidR="00865EE4" w:rsidRPr="00A0185C" w:rsidRDefault="00865EE4" w:rsidP="00865EE4">
      <w:pPr>
        <w:autoSpaceDE w:val="0"/>
        <w:autoSpaceDN w:val="0"/>
        <w:adjustRightInd w:val="0"/>
        <w:rPr>
          <w:rFonts w:asciiTheme="minorHAnsi" w:hAnsiTheme="minorHAnsi" w:cstheme="minorHAnsi"/>
          <w:bCs/>
          <w:sz w:val="24"/>
          <w:szCs w:val="24"/>
        </w:rPr>
      </w:pPr>
      <w:r w:rsidRPr="00A0185C">
        <w:rPr>
          <w:rFonts w:asciiTheme="minorHAnsi" w:hAnsiTheme="minorHAnsi" w:cstheme="minorHAnsi"/>
          <w:bCs/>
          <w:sz w:val="24"/>
          <w:szCs w:val="24"/>
        </w:rPr>
        <w:t xml:space="preserve">Summary of issues: </w:t>
      </w:r>
      <w:r w:rsidRPr="00A0185C">
        <w:rPr>
          <w:rFonts w:asciiTheme="minorHAnsi" w:hAnsiTheme="minorHAnsi" w:cstheme="minorHAnsi"/>
          <w:sz w:val="24"/>
          <w:szCs w:val="24"/>
        </w:rPr>
        <w:t>2970-Living Room-Replace electrical outlet plate; 2970-Dining Room-Ensure window stays open by itself; 2970 Master Bedroom-need to ensure proper window function; 2970-Right Rear Bedroom- Replace electrical outlet plate; and 2970-Garage-Repair or replace side service door and exterior trim.</w:t>
      </w:r>
    </w:p>
    <w:p w14:paraId="404204AE" w14:textId="77854085" w:rsidR="00865EE4" w:rsidRPr="00A0185C" w:rsidRDefault="003316DF">
      <w:pPr>
        <w:widowControl w:val="0"/>
        <w:spacing w:beforeAutospacing="1" w:afterAutospacing="1"/>
        <w:rPr>
          <w:rFonts w:asciiTheme="minorHAnsi" w:hAnsiTheme="minorHAnsi" w:cstheme="minorHAnsi"/>
          <w:bCs/>
          <w:sz w:val="24"/>
          <w:szCs w:val="24"/>
        </w:rPr>
      </w:pPr>
      <w:r w:rsidRPr="00A0185C">
        <w:rPr>
          <w:rFonts w:asciiTheme="minorHAnsi" w:hAnsiTheme="minorHAnsi" w:cstheme="minorHAnsi"/>
          <w:b/>
          <w:sz w:val="24"/>
          <w:szCs w:val="24"/>
        </w:rPr>
        <w:t>North Brevard Charities</w:t>
      </w:r>
      <w:r w:rsidR="00620858" w:rsidRPr="00A0185C">
        <w:rPr>
          <w:rFonts w:asciiTheme="minorHAnsi" w:hAnsiTheme="minorHAnsi" w:cstheme="minorHAnsi"/>
          <w:b/>
          <w:sz w:val="24"/>
          <w:szCs w:val="24"/>
        </w:rPr>
        <w:t xml:space="preserve">: </w:t>
      </w:r>
      <w:r w:rsidR="00620858" w:rsidRPr="00A0185C">
        <w:rPr>
          <w:rFonts w:asciiTheme="minorHAnsi" w:hAnsiTheme="minorHAnsi" w:cstheme="minorHAnsi"/>
          <w:bCs/>
          <w:sz w:val="24"/>
          <w:szCs w:val="24"/>
        </w:rPr>
        <w:t xml:space="preserve">4435, 4437, 4439, 4441 </w:t>
      </w:r>
      <w:proofErr w:type="spellStart"/>
      <w:r w:rsidR="00620858" w:rsidRPr="00A0185C">
        <w:rPr>
          <w:rFonts w:asciiTheme="minorHAnsi" w:hAnsiTheme="minorHAnsi" w:cstheme="minorHAnsi"/>
          <w:bCs/>
          <w:sz w:val="24"/>
          <w:szCs w:val="24"/>
        </w:rPr>
        <w:t>Barna</w:t>
      </w:r>
      <w:proofErr w:type="spellEnd"/>
      <w:r w:rsidR="00620858" w:rsidRPr="00A0185C">
        <w:rPr>
          <w:rFonts w:asciiTheme="minorHAnsi" w:hAnsiTheme="minorHAnsi" w:cstheme="minorHAnsi"/>
          <w:bCs/>
          <w:sz w:val="24"/>
          <w:szCs w:val="24"/>
        </w:rPr>
        <w:t xml:space="preserve"> Street, Titusville, FL</w:t>
      </w:r>
    </w:p>
    <w:p w14:paraId="79D21855" w14:textId="2EC08045" w:rsidR="00062FA7" w:rsidRPr="00A0185C" w:rsidRDefault="00074180" w:rsidP="00062FA7">
      <w:pPr>
        <w:rPr>
          <w:rFonts w:asciiTheme="minorHAnsi" w:hAnsiTheme="minorHAnsi" w:cstheme="minorHAnsi"/>
          <w:sz w:val="24"/>
          <w:szCs w:val="24"/>
        </w:rPr>
      </w:pPr>
      <w:r w:rsidRPr="00A0185C">
        <w:rPr>
          <w:rFonts w:asciiTheme="minorHAnsi" w:hAnsiTheme="minorHAnsi" w:cstheme="minorHAnsi"/>
          <w:bCs/>
          <w:sz w:val="24"/>
          <w:szCs w:val="24"/>
        </w:rPr>
        <w:t>Summary of issues:</w:t>
      </w:r>
      <w:r w:rsidRPr="00A0185C">
        <w:rPr>
          <w:rFonts w:asciiTheme="minorHAnsi" w:hAnsiTheme="minorHAnsi" w:cstheme="minorHAnsi"/>
          <w:sz w:val="24"/>
          <w:szCs w:val="24"/>
        </w:rPr>
        <w:t xml:space="preserve"> 4435- Kitchen- GFI outlet left of sink is not functioning properly (not tripping). 4437-Stove Burners and overgrown bushes; 4439- Left side rear burner no drip pan; 4441-pest infestation</w:t>
      </w:r>
      <w:r w:rsidR="00062FA7" w:rsidRPr="00A0185C">
        <w:rPr>
          <w:rFonts w:asciiTheme="minorHAnsi" w:hAnsiTheme="minorHAnsi" w:cstheme="minorHAnsi"/>
          <w:sz w:val="24"/>
          <w:szCs w:val="24"/>
        </w:rPr>
        <w:t xml:space="preserve">. Unit inspections were not scheduled </w:t>
      </w:r>
      <w:r w:rsidR="00F74FB9">
        <w:rPr>
          <w:rFonts w:asciiTheme="minorHAnsi" w:hAnsiTheme="minorHAnsi" w:cstheme="minorHAnsi"/>
          <w:sz w:val="24"/>
          <w:szCs w:val="24"/>
        </w:rPr>
        <w:t>due to outstanding issues but were inspected.</w:t>
      </w:r>
    </w:p>
    <w:p w14:paraId="37D99304" w14:textId="77777777" w:rsidR="008073C7" w:rsidRPr="00310AA9" w:rsidRDefault="008073C7" w:rsidP="008073C7">
      <w:pPr>
        <w:pStyle w:val="ListParagraph"/>
        <w:spacing w:before="120" w:after="120"/>
        <w:ind w:left="0"/>
        <w:rPr>
          <w:rFonts w:cstheme="minorHAnsi"/>
          <w:b/>
          <w:bCs/>
          <w:sz w:val="26"/>
          <w:szCs w:val="26"/>
        </w:rPr>
      </w:pPr>
      <w:r w:rsidRPr="00310AA9">
        <w:rPr>
          <w:rFonts w:cstheme="minorHAnsi"/>
          <w:b/>
          <w:bCs/>
          <w:sz w:val="26"/>
          <w:szCs w:val="26"/>
        </w:rPr>
        <w:t>Homes for Independence:</w:t>
      </w:r>
    </w:p>
    <w:p w14:paraId="30E9BF9E" w14:textId="77777777" w:rsidR="008073C7" w:rsidRPr="00A0185C" w:rsidRDefault="008073C7" w:rsidP="008073C7">
      <w:pPr>
        <w:pStyle w:val="ListParagraph"/>
        <w:numPr>
          <w:ilvl w:val="0"/>
          <w:numId w:val="25"/>
        </w:numPr>
        <w:spacing w:before="120" w:after="120" w:line="276" w:lineRule="auto"/>
        <w:contextualSpacing/>
        <w:rPr>
          <w:rFonts w:cstheme="minorHAnsi"/>
          <w:sz w:val="24"/>
          <w:szCs w:val="24"/>
        </w:rPr>
      </w:pPr>
      <w:r w:rsidRPr="00A0185C">
        <w:rPr>
          <w:rFonts w:cstheme="minorHAnsi"/>
          <w:sz w:val="24"/>
          <w:szCs w:val="24"/>
        </w:rPr>
        <w:t xml:space="preserve">1400 </w:t>
      </w:r>
      <w:proofErr w:type="spellStart"/>
      <w:r w:rsidRPr="00A0185C">
        <w:rPr>
          <w:rFonts w:cstheme="minorHAnsi"/>
          <w:sz w:val="24"/>
          <w:szCs w:val="24"/>
        </w:rPr>
        <w:t>Sheafe</w:t>
      </w:r>
      <w:proofErr w:type="spellEnd"/>
      <w:r w:rsidRPr="00A0185C">
        <w:rPr>
          <w:rFonts w:cstheme="minorHAnsi"/>
          <w:sz w:val="24"/>
          <w:szCs w:val="24"/>
        </w:rPr>
        <w:t xml:space="preserve"> Ave. Apt. 104 Palm Bay FL. 32905 (Passed)</w:t>
      </w:r>
    </w:p>
    <w:p w14:paraId="1268EEF6" w14:textId="77777777" w:rsidR="008073C7" w:rsidRPr="00A0185C" w:rsidRDefault="008073C7" w:rsidP="008073C7">
      <w:pPr>
        <w:pStyle w:val="ListParagraph"/>
        <w:numPr>
          <w:ilvl w:val="0"/>
          <w:numId w:val="25"/>
        </w:numPr>
        <w:spacing w:before="120" w:after="120" w:line="276" w:lineRule="auto"/>
        <w:contextualSpacing/>
        <w:rPr>
          <w:rFonts w:cstheme="minorHAnsi"/>
          <w:sz w:val="24"/>
          <w:szCs w:val="24"/>
        </w:rPr>
      </w:pPr>
      <w:r w:rsidRPr="00A0185C">
        <w:rPr>
          <w:rFonts w:cstheme="minorHAnsi"/>
          <w:sz w:val="24"/>
          <w:szCs w:val="24"/>
        </w:rPr>
        <w:t xml:space="preserve">1698 Sunnybrook Ln. Palm Bay FL. 32905 (Passed) </w:t>
      </w:r>
    </w:p>
    <w:p w14:paraId="5EA40FAF" w14:textId="77777777" w:rsidR="008073C7" w:rsidRPr="00A0185C" w:rsidRDefault="008073C7" w:rsidP="008073C7">
      <w:pPr>
        <w:pStyle w:val="ListParagraph"/>
        <w:numPr>
          <w:ilvl w:val="0"/>
          <w:numId w:val="25"/>
        </w:numPr>
        <w:spacing w:before="120" w:after="120" w:line="276" w:lineRule="auto"/>
        <w:contextualSpacing/>
        <w:rPr>
          <w:rFonts w:cstheme="minorHAnsi"/>
          <w:sz w:val="24"/>
          <w:szCs w:val="24"/>
        </w:rPr>
      </w:pPr>
      <w:r w:rsidRPr="00A0185C">
        <w:rPr>
          <w:rFonts w:cstheme="minorHAnsi"/>
          <w:sz w:val="24"/>
          <w:szCs w:val="24"/>
        </w:rPr>
        <w:t>1562 University Ln. Apt 701 Cocoa, FL. 32922 (Passed)</w:t>
      </w:r>
    </w:p>
    <w:p w14:paraId="544C0BA7" w14:textId="77777777" w:rsidR="008073C7" w:rsidRPr="00A0185C" w:rsidRDefault="008073C7" w:rsidP="008073C7">
      <w:pPr>
        <w:pStyle w:val="ListParagraph"/>
        <w:numPr>
          <w:ilvl w:val="0"/>
          <w:numId w:val="25"/>
        </w:numPr>
        <w:spacing w:before="120" w:after="120" w:line="276" w:lineRule="auto"/>
        <w:contextualSpacing/>
        <w:rPr>
          <w:rFonts w:cstheme="minorHAnsi"/>
          <w:sz w:val="24"/>
          <w:szCs w:val="24"/>
        </w:rPr>
      </w:pPr>
      <w:r w:rsidRPr="00A0185C">
        <w:rPr>
          <w:rFonts w:cstheme="minorHAnsi"/>
          <w:sz w:val="24"/>
          <w:szCs w:val="24"/>
        </w:rPr>
        <w:t>1806 University Ln. Apt. 407 Cocoa, FL. 329224485 Kingsville St. Cocoa, FL. 32927 (Passed)</w:t>
      </w:r>
    </w:p>
    <w:p w14:paraId="0467D6D2" w14:textId="77777777" w:rsidR="008073C7" w:rsidRPr="00A0185C" w:rsidRDefault="008073C7" w:rsidP="008073C7">
      <w:pPr>
        <w:pStyle w:val="ListParagraph"/>
        <w:numPr>
          <w:ilvl w:val="0"/>
          <w:numId w:val="25"/>
        </w:numPr>
        <w:spacing w:before="120" w:after="120" w:line="276" w:lineRule="auto"/>
        <w:contextualSpacing/>
        <w:rPr>
          <w:rFonts w:cstheme="minorHAnsi"/>
          <w:sz w:val="24"/>
          <w:szCs w:val="24"/>
        </w:rPr>
      </w:pPr>
      <w:r w:rsidRPr="00A0185C">
        <w:rPr>
          <w:rFonts w:cstheme="minorHAnsi"/>
          <w:sz w:val="24"/>
          <w:szCs w:val="24"/>
        </w:rPr>
        <w:t>1685 Fay St. Cocoa, FL. 32922 (Passed)</w:t>
      </w:r>
    </w:p>
    <w:p w14:paraId="20F89A50" w14:textId="77777777" w:rsidR="00A0185C" w:rsidRPr="00A0185C" w:rsidRDefault="00A0185C" w:rsidP="00A0185C">
      <w:pPr>
        <w:rPr>
          <w:rFonts w:cstheme="minorHAnsi"/>
          <w:sz w:val="24"/>
          <w:szCs w:val="24"/>
        </w:rPr>
      </w:pPr>
      <w:r w:rsidRPr="00A0185C">
        <w:rPr>
          <w:rFonts w:cstheme="minorHAnsi"/>
          <w:sz w:val="24"/>
          <w:szCs w:val="24"/>
        </w:rPr>
        <w:t>The City of Titusville issued Notices of Non-Compliance to both of their HOME rental projects and is working with the agency towards resolution or repayment of funds.</w:t>
      </w:r>
    </w:p>
    <w:p w14:paraId="7C44A588" w14:textId="77777777" w:rsidR="00A0185C" w:rsidRDefault="00A0185C" w:rsidP="00A0185C">
      <w:pPr>
        <w:spacing w:before="120" w:after="120"/>
        <w:contextualSpacing/>
        <w:rPr>
          <w:rFonts w:cstheme="minorHAnsi"/>
          <w:sz w:val="24"/>
          <w:szCs w:val="24"/>
        </w:rPr>
      </w:pPr>
      <w:r w:rsidRPr="00A0185C">
        <w:rPr>
          <w:rFonts w:cstheme="minorHAnsi"/>
          <w:sz w:val="24"/>
          <w:szCs w:val="24"/>
        </w:rPr>
        <w:t>The City of Melbourne has 7 projects to be monitored by the end of 2024.</w:t>
      </w:r>
    </w:p>
    <w:p w14:paraId="6DE25BC1" w14:textId="77777777" w:rsidR="00D544F9" w:rsidRPr="00A0185C" w:rsidRDefault="00D544F9" w:rsidP="00A0185C">
      <w:pPr>
        <w:spacing w:before="120" w:after="120"/>
        <w:contextualSpacing/>
        <w:rPr>
          <w:rFonts w:cstheme="minorHAnsi"/>
          <w:sz w:val="24"/>
          <w:szCs w:val="24"/>
        </w:rPr>
      </w:pPr>
    </w:p>
    <w:p w14:paraId="708F54A1" w14:textId="77777777" w:rsidR="00A0185C" w:rsidRPr="00A0185C" w:rsidRDefault="00A0185C" w:rsidP="00A0185C">
      <w:pPr>
        <w:spacing w:before="120" w:after="120"/>
        <w:contextualSpacing/>
        <w:rPr>
          <w:rFonts w:cstheme="minorHAnsi"/>
          <w:sz w:val="24"/>
          <w:szCs w:val="24"/>
        </w:rPr>
      </w:pPr>
      <w:r w:rsidRPr="00A0185C">
        <w:rPr>
          <w:rFonts w:cstheme="minorHAnsi"/>
          <w:sz w:val="24"/>
          <w:szCs w:val="24"/>
        </w:rPr>
        <w:t>The City of Palm Bay has no HOME rental properties currently.</w:t>
      </w:r>
    </w:p>
    <w:p w14:paraId="57D07EF0" w14:textId="77777777" w:rsidR="00A0185C" w:rsidRPr="00A0185C" w:rsidRDefault="00A0185C" w:rsidP="00A0185C">
      <w:pPr>
        <w:spacing w:before="120" w:after="120"/>
        <w:contextualSpacing/>
        <w:rPr>
          <w:rFonts w:cstheme="minorHAnsi"/>
        </w:rPr>
      </w:pPr>
    </w:p>
    <w:p w14:paraId="141F3BFD" w14:textId="2E72C95F" w:rsidR="004E7119" w:rsidRDefault="002A3363">
      <w:pPr>
        <w:widowControl w:val="0"/>
        <w:rPr>
          <w:b/>
          <w:sz w:val="24"/>
          <w:szCs w:val="24"/>
        </w:rPr>
      </w:pPr>
      <w:r>
        <w:rPr>
          <w:b/>
          <w:sz w:val="24"/>
          <w:szCs w:val="24"/>
        </w:rPr>
        <w:lastRenderedPageBreak/>
        <w:t>Provide an assessment of the jurisdiction's affirmative marketing actions for HOME units. 24 CFR 91.520(e) and 24 CFR 92.351(a)</w:t>
      </w:r>
    </w:p>
    <w:p w14:paraId="0D4D08CB" w14:textId="77777777" w:rsidR="004E7119" w:rsidRDefault="002A3363">
      <w:pPr>
        <w:widowControl w:val="0"/>
        <w:spacing w:beforeAutospacing="1" w:afterAutospacing="1"/>
        <w:rPr>
          <w:rFonts w:cs="Arial"/>
        </w:rPr>
      </w:pPr>
      <w:r>
        <w:rPr>
          <w:rFonts w:cs="Arial"/>
        </w:rPr>
        <w:t>The Consortium has established procedures to affirmatively market units created under the HOME Investment Partnerships Program as it applies to rental and homeownership development activities containing five or more assisted units. We further encourage partnerships with minority owned and women owned contractors and sub-contractors.  We include affirmatively marketing information in our Proposals, as well as agreements.  Advertising of housing availability is done throughout Brevard County, with emphasis on the lower income areas. </w:t>
      </w:r>
    </w:p>
    <w:p w14:paraId="5F5709D8" w14:textId="77777777" w:rsidR="004E7119" w:rsidRDefault="002A3363">
      <w:pPr>
        <w:widowControl w:val="0"/>
        <w:rPr>
          <w:b/>
          <w:sz w:val="24"/>
          <w:szCs w:val="24"/>
        </w:rPr>
      </w:pPr>
      <w:r>
        <w:rPr>
          <w:b/>
          <w:sz w:val="24"/>
          <w:szCs w:val="24"/>
        </w:rPr>
        <w:t>Refer to IDIS reports to describe the amount and use of program income for projects, including the number of projects and owner and tenant characteristics</w:t>
      </w:r>
    </w:p>
    <w:p w14:paraId="292182DB" w14:textId="7BE1A9E7" w:rsidR="004E7119" w:rsidRDefault="002A3363">
      <w:pPr>
        <w:widowControl w:val="0"/>
        <w:spacing w:beforeAutospacing="1" w:afterAutospacing="1"/>
        <w:rPr>
          <w:rFonts w:cs="Arial"/>
        </w:rPr>
      </w:pPr>
      <w:r>
        <w:rPr>
          <w:rFonts w:cs="Arial"/>
        </w:rPr>
        <w:t xml:space="preserve">Program income in the amount </w:t>
      </w:r>
      <w:r w:rsidRPr="00047ADC">
        <w:rPr>
          <w:rFonts w:cs="Arial"/>
        </w:rPr>
        <w:t xml:space="preserve">of </w:t>
      </w:r>
      <w:r w:rsidR="00D66ACA" w:rsidRPr="00047ADC">
        <w:rPr>
          <w:rFonts w:cs="Arial"/>
        </w:rPr>
        <w:t>$</w:t>
      </w:r>
      <w:r w:rsidR="00761333">
        <w:rPr>
          <w:rFonts w:cs="Arial"/>
        </w:rPr>
        <w:t>250,672.60</w:t>
      </w:r>
      <w:r w:rsidRPr="00047ADC">
        <w:rPr>
          <w:rFonts w:cs="Arial"/>
        </w:rPr>
        <w:t xml:space="preserve"> was used to begin </w:t>
      </w:r>
      <w:r w:rsidR="00D66ACA" w:rsidRPr="00047ADC">
        <w:rPr>
          <w:rFonts w:cs="Arial"/>
        </w:rPr>
        <w:t xml:space="preserve">two </w:t>
      </w:r>
      <w:r w:rsidRPr="00047ADC">
        <w:rPr>
          <w:rFonts w:cs="Arial"/>
        </w:rPr>
        <w:t>new home construction projects  to low income single family households</w:t>
      </w:r>
      <w:r w:rsidR="00D66ACA" w:rsidRPr="00047ADC">
        <w:rPr>
          <w:rFonts w:cs="Arial"/>
        </w:rPr>
        <w:t xml:space="preserve"> in Palm Bay</w:t>
      </w:r>
      <w:r w:rsidRPr="00047ADC">
        <w:rPr>
          <w:rFonts w:cs="Arial"/>
        </w:rPr>
        <w:t>.</w:t>
      </w:r>
      <w:r>
        <w:rPr>
          <w:rFonts w:cs="Arial"/>
        </w:rPr>
        <w:t> </w:t>
      </w:r>
    </w:p>
    <w:p w14:paraId="05A5C7CE" w14:textId="77777777" w:rsidR="004E7119" w:rsidRDefault="002A3363">
      <w:pPr>
        <w:widowControl w:val="0"/>
        <w:rPr>
          <w:b/>
          <w:sz w:val="24"/>
          <w:szCs w:val="24"/>
        </w:rPr>
      </w:pPr>
      <w:r>
        <w:rPr>
          <w:b/>
          <w:sz w:val="24"/>
          <w:szCs w:val="24"/>
        </w:rPr>
        <w:t>Describe other actions taken to foster and maintain affordable housing. 24 CFR 91.220(k) (STATES ONLY: Including the coordination of LIHTC with the development of affordable housing). 24 CFR 91.320(j)</w:t>
      </w:r>
    </w:p>
    <w:p w14:paraId="43EEDECF" w14:textId="3AF5CCD1" w:rsidR="004E7119" w:rsidRDefault="002A3363">
      <w:pPr>
        <w:widowControl w:val="0"/>
        <w:spacing w:beforeAutospacing="1" w:afterAutospacing="1"/>
        <w:rPr>
          <w:rFonts w:cs="Arial"/>
        </w:rPr>
      </w:pPr>
      <w:r>
        <w:rPr>
          <w:rFonts w:cs="Arial"/>
        </w:rPr>
        <w:t xml:space="preserve">The Consortium endeavors to focus on several key goals as they pertain to the preservation and development of affordable housing: improved access to affordable housing through </w:t>
      </w:r>
      <w:r w:rsidRPr="00047ADC">
        <w:rPr>
          <w:rFonts w:cs="Arial"/>
        </w:rPr>
        <w:t>purchase assistance programs; work with Community Development Housing Organizations and local developers to purchase, rehabilitate or construct affordable</w:t>
      </w:r>
      <w:r>
        <w:rPr>
          <w:rFonts w:cs="Arial"/>
        </w:rPr>
        <w:t xml:space="preserve"> housing units; improve the quality of owner occupied housing through rehabilitation programs (which provide sustainability to the neighborhood); increase the quality of life through community development, and infrastructure/facility improvements; client education of lead based paint and asbestos hazards; and increased accessibility through public service programs that improve health, education, reduced the risk of homelessness; and promote self-sufficiency. </w:t>
      </w:r>
    </w:p>
    <w:p w14:paraId="3DE69526" w14:textId="77777777" w:rsidR="004E7119" w:rsidRDefault="004E7119">
      <w:pPr>
        <w:widowControl w:val="0"/>
        <w:rPr>
          <w:rFonts w:cs="Arial"/>
          <w:szCs w:val="26"/>
        </w:rPr>
      </w:pPr>
    </w:p>
    <w:p w14:paraId="51F4A680" w14:textId="77777777" w:rsidR="004E7119" w:rsidRDefault="004E7119"/>
    <w:p w14:paraId="31A45238" w14:textId="77777777" w:rsidR="004E7119" w:rsidRDefault="004E7119"/>
    <w:p w14:paraId="07F30065" w14:textId="77777777" w:rsidR="004E7119" w:rsidRDefault="002A3363">
      <w:pPr>
        <w:pStyle w:val="Heading2"/>
        <w:keepNext w:val="0"/>
        <w:pageBreakBefore/>
        <w:widowControl w:val="0"/>
        <w:rPr>
          <w:rFonts w:ascii="Calibri" w:hAnsi="Calibri"/>
          <w:i w:val="0"/>
        </w:rPr>
      </w:pPr>
      <w:r>
        <w:rPr>
          <w:rFonts w:ascii="Calibri" w:hAnsi="Calibri"/>
          <w:i w:val="0"/>
        </w:rPr>
        <w:lastRenderedPageBreak/>
        <w:t>CR-58 – Section 3</w:t>
      </w:r>
    </w:p>
    <w:p w14:paraId="3A26A826" w14:textId="2E3F3449" w:rsidR="004E7119" w:rsidRDefault="002A3363">
      <w:pPr>
        <w:widowControl w:val="0"/>
        <w:rPr>
          <w:sz w:val="24"/>
          <w:szCs w:val="24"/>
        </w:rPr>
      </w:pPr>
      <w:r>
        <w:rPr>
          <w:b/>
          <w:sz w:val="24"/>
          <w:szCs w:val="24"/>
        </w:rPr>
        <w:t xml:space="preserve">Identify the number of individuals assisted and the types of assistance provided </w:t>
      </w:r>
    </w:p>
    <w:tbl>
      <w:tblPr>
        <w:tblW w:w="5021"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335"/>
        <w:gridCol w:w="793"/>
        <w:gridCol w:w="881"/>
        <w:gridCol w:w="706"/>
        <w:gridCol w:w="968"/>
        <w:gridCol w:w="706"/>
      </w:tblGrid>
      <w:tr w:rsidR="004E7119" w14:paraId="4640018D" w14:textId="77777777">
        <w:trPr>
          <w:cantSplit/>
        </w:trPr>
        <w:tc>
          <w:tcPr>
            <w:tcW w:w="5490" w:type="dxa"/>
          </w:tcPr>
          <w:p w14:paraId="780D876D" w14:textId="77777777" w:rsidR="004E7119" w:rsidRDefault="002A3363">
            <w:pPr>
              <w:keepNext/>
              <w:widowControl w:val="0"/>
              <w:tabs>
                <w:tab w:val="left" w:pos="2070"/>
              </w:tabs>
              <w:spacing w:after="0" w:line="240" w:lineRule="auto"/>
              <w:ind w:right="162"/>
              <w:jc w:val="center"/>
              <w:rPr>
                <w:b/>
              </w:rPr>
            </w:pPr>
            <w:r>
              <w:rPr>
                <w:b/>
              </w:rPr>
              <w:t>Total Labor Hours</w:t>
            </w:r>
          </w:p>
        </w:tc>
        <w:tc>
          <w:tcPr>
            <w:tcW w:w="810" w:type="dxa"/>
          </w:tcPr>
          <w:p w14:paraId="3A1167B2" w14:textId="77777777" w:rsidR="004E7119" w:rsidRDefault="002A3363">
            <w:pPr>
              <w:keepNext/>
              <w:widowControl w:val="0"/>
              <w:spacing w:after="0" w:line="240" w:lineRule="auto"/>
              <w:jc w:val="center"/>
              <w:rPr>
                <w:b/>
              </w:rPr>
            </w:pPr>
            <w:r>
              <w:rPr>
                <w:b/>
              </w:rPr>
              <w:t>CDBG</w:t>
            </w:r>
          </w:p>
        </w:tc>
        <w:tc>
          <w:tcPr>
            <w:tcW w:w="900" w:type="dxa"/>
          </w:tcPr>
          <w:p w14:paraId="48C3DE52" w14:textId="77777777" w:rsidR="004E7119" w:rsidRDefault="002A3363">
            <w:pPr>
              <w:keepNext/>
              <w:widowControl w:val="0"/>
              <w:spacing w:after="0" w:line="240" w:lineRule="auto"/>
              <w:jc w:val="center"/>
              <w:rPr>
                <w:b/>
              </w:rPr>
            </w:pPr>
            <w:r>
              <w:rPr>
                <w:b/>
              </w:rPr>
              <w:t>HOME</w:t>
            </w:r>
          </w:p>
        </w:tc>
        <w:tc>
          <w:tcPr>
            <w:tcW w:w="720" w:type="dxa"/>
          </w:tcPr>
          <w:p w14:paraId="1D34D4A5" w14:textId="77777777" w:rsidR="004E7119" w:rsidRDefault="002A3363">
            <w:pPr>
              <w:keepNext/>
              <w:widowControl w:val="0"/>
              <w:spacing w:after="0" w:line="240" w:lineRule="auto"/>
              <w:rPr>
                <w:b/>
              </w:rPr>
            </w:pPr>
            <w:r>
              <w:rPr>
                <w:b/>
              </w:rPr>
              <w:t>ESG</w:t>
            </w:r>
          </w:p>
        </w:tc>
        <w:tc>
          <w:tcPr>
            <w:tcW w:w="990" w:type="dxa"/>
          </w:tcPr>
          <w:p w14:paraId="0ECE8427" w14:textId="77777777" w:rsidR="004E7119" w:rsidRDefault="002A3363">
            <w:pPr>
              <w:keepNext/>
              <w:widowControl w:val="0"/>
              <w:spacing w:after="0" w:line="240" w:lineRule="auto"/>
              <w:jc w:val="center"/>
              <w:rPr>
                <w:b/>
              </w:rPr>
            </w:pPr>
            <w:r>
              <w:rPr>
                <w:b/>
              </w:rPr>
              <w:t>HOPWA</w:t>
            </w:r>
          </w:p>
        </w:tc>
        <w:tc>
          <w:tcPr>
            <w:tcW w:w="720" w:type="dxa"/>
          </w:tcPr>
          <w:p w14:paraId="23B08737" w14:textId="77777777" w:rsidR="004E7119" w:rsidRDefault="002A3363">
            <w:pPr>
              <w:keepNext/>
              <w:widowControl w:val="0"/>
              <w:spacing w:after="0" w:line="240" w:lineRule="auto"/>
              <w:jc w:val="center"/>
              <w:rPr>
                <w:b/>
              </w:rPr>
            </w:pPr>
            <w:r>
              <w:rPr>
                <w:b/>
              </w:rPr>
              <w:t>HTF</w:t>
            </w:r>
          </w:p>
        </w:tc>
      </w:tr>
      <w:tr w:rsidR="004E7119" w14:paraId="43C1ECD9" w14:textId="77777777">
        <w:trPr>
          <w:cantSplit/>
        </w:trPr>
        <w:tc>
          <w:tcPr>
            <w:tcW w:w="5490" w:type="dxa"/>
            <w:vAlign w:val="center"/>
          </w:tcPr>
          <w:p w14:paraId="20885D62" w14:textId="77777777" w:rsidR="004E7119" w:rsidRDefault="002A3363">
            <w:pPr>
              <w:spacing w:beforeAutospacing="1" w:afterAutospacing="1"/>
            </w:pPr>
            <w:r>
              <w:rPr>
                <w:rFonts w:ascii="Arial" w:hAnsi="Arial"/>
                <w:color w:val="25396E"/>
                <w:sz w:val="16"/>
              </w:rPr>
              <w:t>Total Number of Activities</w:t>
            </w:r>
          </w:p>
        </w:tc>
        <w:tc>
          <w:tcPr>
            <w:tcW w:w="810" w:type="dxa"/>
            <w:vAlign w:val="center"/>
          </w:tcPr>
          <w:p w14:paraId="2A73464E" w14:textId="6C75A759" w:rsidR="004E7119" w:rsidRDefault="00B71CE7">
            <w:pPr>
              <w:spacing w:beforeAutospacing="1" w:afterAutospacing="1"/>
              <w:jc w:val="right"/>
            </w:pPr>
            <w:r>
              <w:rPr>
                <w:rFonts w:ascii="Arial" w:hAnsi="Arial"/>
                <w:color w:val="000000"/>
                <w:sz w:val="16"/>
              </w:rPr>
              <w:t>0</w:t>
            </w:r>
          </w:p>
        </w:tc>
        <w:tc>
          <w:tcPr>
            <w:tcW w:w="900" w:type="dxa"/>
            <w:vAlign w:val="center"/>
          </w:tcPr>
          <w:p w14:paraId="235CDFAD" w14:textId="77777777" w:rsidR="004E7119" w:rsidRDefault="002A3363">
            <w:pPr>
              <w:spacing w:beforeAutospacing="1" w:afterAutospacing="1"/>
              <w:jc w:val="right"/>
            </w:pPr>
            <w:r>
              <w:rPr>
                <w:rFonts w:ascii="Arial" w:hAnsi="Arial"/>
                <w:color w:val="000000"/>
                <w:sz w:val="16"/>
              </w:rPr>
              <w:t>0</w:t>
            </w:r>
          </w:p>
        </w:tc>
        <w:tc>
          <w:tcPr>
            <w:tcW w:w="720" w:type="dxa"/>
            <w:vAlign w:val="center"/>
          </w:tcPr>
          <w:p w14:paraId="3CFDB24F" w14:textId="77777777" w:rsidR="004E7119" w:rsidRDefault="002A3363">
            <w:pPr>
              <w:spacing w:beforeAutospacing="1" w:afterAutospacing="1"/>
              <w:jc w:val="right"/>
            </w:pPr>
            <w:r>
              <w:rPr>
                <w:rFonts w:ascii="Arial" w:hAnsi="Arial"/>
                <w:color w:val="000000"/>
                <w:sz w:val="16"/>
              </w:rPr>
              <w:t>0</w:t>
            </w:r>
          </w:p>
        </w:tc>
        <w:tc>
          <w:tcPr>
            <w:tcW w:w="990" w:type="dxa"/>
            <w:vAlign w:val="center"/>
          </w:tcPr>
          <w:p w14:paraId="6BAE5EF5" w14:textId="77777777" w:rsidR="004E7119" w:rsidRDefault="002A3363">
            <w:pPr>
              <w:spacing w:beforeAutospacing="1" w:afterAutospacing="1"/>
              <w:jc w:val="right"/>
            </w:pPr>
            <w:r>
              <w:rPr>
                <w:rFonts w:ascii="Arial" w:hAnsi="Arial"/>
                <w:color w:val="000000"/>
                <w:sz w:val="16"/>
              </w:rPr>
              <w:t>0</w:t>
            </w:r>
          </w:p>
        </w:tc>
        <w:tc>
          <w:tcPr>
            <w:tcW w:w="720" w:type="dxa"/>
            <w:vAlign w:val="center"/>
          </w:tcPr>
          <w:p w14:paraId="1B7DCA2D" w14:textId="77777777" w:rsidR="004E7119" w:rsidRDefault="002A3363">
            <w:pPr>
              <w:spacing w:beforeAutospacing="1" w:afterAutospacing="1"/>
              <w:jc w:val="right"/>
            </w:pPr>
            <w:r>
              <w:rPr>
                <w:rFonts w:ascii="Arial" w:hAnsi="Arial"/>
                <w:color w:val="000000"/>
                <w:sz w:val="16"/>
              </w:rPr>
              <w:t>0</w:t>
            </w:r>
          </w:p>
        </w:tc>
      </w:tr>
      <w:tr w:rsidR="004E7119" w14:paraId="4D8D932D" w14:textId="77777777">
        <w:trPr>
          <w:cantSplit/>
        </w:trPr>
        <w:tc>
          <w:tcPr>
            <w:tcW w:w="5490" w:type="dxa"/>
            <w:vAlign w:val="center"/>
          </w:tcPr>
          <w:p w14:paraId="01A82C22" w14:textId="77777777" w:rsidR="004E7119" w:rsidRDefault="002A3363">
            <w:pPr>
              <w:spacing w:beforeAutospacing="1" w:afterAutospacing="1"/>
            </w:pPr>
            <w:r>
              <w:rPr>
                <w:rFonts w:ascii="Arial" w:hAnsi="Arial"/>
                <w:color w:val="25396E"/>
                <w:sz w:val="16"/>
              </w:rPr>
              <w:t>Total Labor Hours</w:t>
            </w:r>
          </w:p>
        </w:tc>
        <w:tc>
          <w:tcPr>
            <w:tcW w:w="810" w:type="dxa"/>
            <w:vAlign w:val="center"/>
          </w:tcPr>
          <w:p w14:paraId="2BB1CC06" w14:textId="78A1E057" w:rsidR="004E7119" w:rsidRDefault="00B71CE7">
            <w:pPr>
              <w:spacing w:beforeAutospacing="1" w:afterAutospacing="1"/>
              <w:jc w:val="right"/>
            </w:pPr>
            <w:r>
              <w:rPr>
                <w:rFonts w:ascii="Arial" w:hAnsi="Arial"/>
                <w:color w:val="000000"/>
                <w:sz w:val="16"/>
              </w:rPr>
              <w:t>0</w:t>
            </w:r>
          </w:p>
        </w:tc>
        <w:tc>
          <w:tcPr>
            <w:tcW w:w="900" w:type="dxa"/>
            <w:vAlign w:val="center"/>
          </w:tcPr>
          <w:p w14:paraId="5EECDA72" w14:textId="77777777" w:rsidR="004E7119" w:rsidRDefault="002A3363">
            <w:pPr>
              <w:spacing w:beforeAutospacing="1" w:afterAutospacing="1"/>
              <w:jc w:val="right"/>
            </w:pPr>
            <w:r>
              <w:rPr>
                <w:rFonts w:ascii="Arial" w:hAnsi="Arial"/>
                <w:color w:val="000000"/>
                <w:sz w:val="16"/>
              </w:rPr>
              <w:t>0</w:t>
            </w:r>
          </w:p>
        </w:tc>
        <w:tc>
          <w:tcPr>
            <w:tcW w:w="720" w:type="dxa"/>
            <w:vAlign w:val="center"/>
          </w:tcPr>
          <w:p w14:paraId="3F852BB5" w14:textId="77777777" w:rsidR="004E7119" w:rsidRDefault="002A3363">
            <w:pPr>
              <w:spacing w:beforeAutospacing="1" w:afterAutospacing="1"/>
              <w:jc w:val="right"/>
            </w:pPr>
            <w:r>
              <w:rPr>
                <w:rFonts w:ascii="Arial" w:hAnsi="Arial"/>
                <w:color w:val="000000"/>
                <w:sz w:val="16"/>
              </w:rPr>
              <w:t xml:space="preserve"> </w:t>
            </w:r>
          </w:p>
        </w:tc>
        <w:tc>
          <w:tcPr>
            <w:tcW w:w="990" w:type="dxa"/>
            <w:vAlign w:val="center"/>
          </w:tcPr>
          <w:p w14:paraId="72EA8A47" w14:textId="77777777" w:rsidR="004E7119" w:rsidRDefault="002A3363">
            <w:pPr>
              <w:spacing w:beforeAutospacing="1" w:afterAutospacing="1"/>
              <w:jc w:val="right"/>
            </w:pPr>
            <w:r>
              <w:rPr>
                <w:rFonts w:ascii="Arial" w:hAnsi="Arial"/>
                <w:color w:val="000000"/>
                <w:sz w:val="16"/>
              </w:rPr>
              <w:t xml:space="preserve"> </w:t>
            </w:r>
          </w:p>
        </w:tc>
        <w:tc>
          <w:tcPr>
            <w:tcW w:w="720" w:type="dxa"/>
            <w:vAlign w:val="center"/>
          </w:tcPr>
          <w:p w14:paraId="2AC7C998" w14:textId="77777777" w:rsidR="004E7119" w:rsidRDefault="002A3363">
            <w:pPr>
              <w:spacing w:beforeAutospacing="1" w:afterAutospacing="1"/>
              <w:jc w:val="right"/>
            </w:pPr>
            <w:r>
              <w:rPr>
                <w:rFonts w:ascii="Arial" w:hAnsi="Arial"/>
                <w:color w:val="000000"/>
                <w:sz w:val="16"/>
              </w:rPr>
              <w:t xml:space="preserve"> </w:t>
            </w:r>
          </w:p>
        </w:tc>
      </w:tr>
      <w:tr w:rsidR="004E7119" w14:paraId="77DF3503" w14:textId="77777777">
        <w:trPr>
          <w:cantSplit/>
        </w:trPr>
        <w:tc>
          <w:tcPr>
            <w:tcW w:w="5490" w:type="dxa"/>
            <w:vAlign w:val="center"/>
          </w:tcPr>
          <w:p w14:paraId="4B53FFB6" w14:textId="77777777" w:rsidR="004E7119" w:rsidRDefault="002A3363">
            <w:pPr>
              <w:spacing w:beforeAutospacing="1" w:afterAutospacing="1"/>
            </w:pPr>
            <w:r>
              <w:rPr>
                <w:rFonts w:ascii="Arial" w:hAnsi="Arial"/>
                <w:color w:val="25396E"/>
                <w:sz w:val="16"/>
              </w:rPr>
              <w:t>Total Section 3 Worker Hours</w:t>
            </w:r>
          </w:p>
        </w:tc>
        <w:tc>
          <w:tcPr>
            <w:tcW w:w="810" w:type="dxa"/>
            <w:vAlign w:val="center"/>
          </w:tcPr>
          <w:p w14:paraId="7085C534" w14:textId="77777777" w:rsidR="004E7119" w:rsidRDefault="002A3363">
            <w:pPr>
              <w:spacing w:beforeAutospacing="1" w:afterAutospacing="1"/>
              <w:jc w:val="right"/>
            </w:pPr>
            <w:r>
              <w:rPr>
                <w:rFonts w:ascii="Arial" w:hAnsi="Arial"/>
                <w:color w:val="000000"/>
                <w:sz w:val="16"/>
              </w:rPr>
              <w:t>0</w:t>
            </w:r>
          </w:p>
        </w:tc>
        <w:tc>
          <w:tcPr>
            <w:tcW w:w="900" w:type="dxa"/>
            <w:vAlign w:val="center"/>
          </w:tcPr>
          <w:p w14:paraId="56EB3ECB" w14:textId="77777777" w:rsidR="004E7119" w:rsidRDefault="002A3363">
            <w:pPr>
              <w:spacing w:beforeAutospacing="1" w:afterAutospacing="1"/>
              <w:jc w:val="right"/>
            </w:pPr>
            <w:r>
              <w:rPr>
                <w:rFonts w:ascii="Arial" w:hAnsi="Arial"/>
                <w:color w:val="000000"/>
                <w:sz w:val="16"/>
              </w:rPr>
              <w:t>0</w:t>
            </w:r>
          </w:p>
        </w:tc>
        <w:tc>
          <w:tcPr>
            <w:tcW w:w="720" w:type="dxa"/>
            <w:vAlign w:val="center"/>
          </w:tcPr>
          <w:p w14:paraId="19D4E8F6" w14:textId="77777777" w:rsidR="004E7119" w:rsidRDefault="002A3363">
            <w:pPr>
              <w:spacing w:beforeAutospacing="1" w:afterAutospacing="1"/>
              <w:jc w:val="right"/>
            </w:pPr>
            <w:r>
              <w:rPr>
                <w:rFonts w:ascii="Arial" w:hAnsi="Arial"/>
                <w:color w:val="000000"/>
                <w:sz w:val="16"/>
              </w:rPr>
              <w:t xml:space="preserve"> </w:t>
            </w:r>
          </w:p>
        </w:tc>
        <w:tc>
          <w:tcPr>
            <w:tcW w:w="990" w:type="dxa"/>
            <w:vAlign w:val="center"/>
          </w:tcPr>
          <w:p w14:paraId="17F9D879" w14:textId="77777777" w:rsidR="004E7119" w:rsidRDefault="002A3363">
            <w:pPr>
              <w:spacing w:beforeAutospacing="1" w:afterAutospacing="1"/>
              <w:jc w:val="right"/>
            </w:pPr>
            <w:r>
              <w:rPr>
                <w:rFonts w:ascii="Arial" w:hAnsi="Arial"/>
                <w:color w:val="000000"/>
                <w:sz w:val="16"/>
              </w:rPr>
              <w:t xml:space="preserve"> </w:t>
            </w:r>
          </w:p>
        </w:tc>
        <w:tc>
          <w:tcPr>
            <w:tcW w:w="720" w:type="dxa"/>
            <w:vAlign w:val="center"/>
          </w:tcPr>
          <w:p w14:paraId="66F248C9" w14:textId="77777777" w:rsidR="004E7119" w:rsidRDefault="002A3363">
            <w:pPr>
              <w:spacing w:beforeAutospacing="1" w:afterAutospacing="1"/>
              <w:jc w:val="right"/>
            </w:pPr>
            <w:r>
              <w:rPr>
                <w:rFonts w:ascii="Arial" w:hAnsi="Arial"/>
                <w:color w:val="000000"/>
                <w:sz w:val="16"/>
              </w:rPr>
              <w:t xml:space="preserve"> </w:t>
            </w:r>
          </w:p>
        </w:tc>
      </w:tr>
      <w:tr w:rsidR="004E7119" w14:paraId="5C40BABF" w14:textId="77777777">
        <w:trPr>
          <w:cantSplit/>
        </w:trPr>
        <w:tc>
          <w:tcPr>
            <w:tcW w:w="5490" w:type="dxa"/>
            <w:vAlign w:val="center"/>
          </w:tcPr>
          <w:p w14:paraId="4901A6CE" w14:textId="77777777" w:rsidR="004E7119" w:rsidRDefault="002A3363">
            <w:pPr>
              <w:spacing w:beforeAutospacing="1" w:afterAutospacing="1"/>
            </w:pPr>
            <w:r>
              <w:rPr>
                <w:rFonts w:ascii="Arial" w:hAnsi="Arial"/>
                <w:color w:val="25396E"/>
                <w:sz w:val="16"/>
              </w:rPr>
              <w:t>Total Targeted Section 3 Worker Hours</w:t>
            </w:r>
          </w:p>
        </w:tc>
        <w:tc>
          <w:tcPr>
            <w:tcW w:w="810" w:type="dxa"/>
            <w:vAlign w:val="center"/>
          </w:tcPr>
          <w:p w14:paraId="5F690A45" w14:textId="77777777" w:rsidR="004E7119" w:rsidRDefault="002A3363">
            <w:pPr>
              <w:spacing w:beforeAutospacing="1" w:afterAutospacing="1"/>
              <w:jc w:val="right"/>
            </w:pPr>
            <w:r>
              <w:rPr>
                <w:rFonts w:ascii="Arial" w:hAnsi="Arial"/>
                <w:color w:val="000000"/>
                <w:sz w:val="16"/>
              </w:rPr>
              <w:t>0</w:t>
            </w:r>
          </w:p>
        </w:tc>
        <w:tc>
          <w:tcPr>
            <w:tcW w:w="900" w:type="dxa"/>
            <w:vAlign w:val="center"/>
          </w:tcPr>
          <w:p w14:paraId="5BBBE64F" w14:textId="77777777" w:rsidR="004E7119" w:rsidRDefault="002A3363">
            <w:pPr>
              <w:spacing w:beforeAutospacing="1" w:afterAutospacing="1"/>
              <w:jc w:val="right"/>
            </w:pPr>
            <w:r>
              <w:rPr>
                <w:rFonts w:ascii="Arial" w:hAnsi="Arial"/>
                <w:color w:val="000000"/>
                <w:sz w:val="16"/>
              </w:rPr>
              <w:t>0</w:t>
            </w:r>
          </w:p>
        </w:tc>
        <w:tc>
          <w:tcPr>
            <w:tcW w:w="720" w:type="dxa"/>
            <w:vAlign w:val="center"/>
          </w:tcPr>
          <w:p w14:paraId="527F5E75" w14:textId="77777777" w:rsidR="004E7119" w:rsidRDefault="002A3363">
            <w:pPr>
              <w:spacing w:beforeAutospacing="1" w:afterAutospacing="1"/>
              <w:jc w:val="right"/>
            </w:pPr>
            <w:r>
              <w:rPr>
                <w:rFonts w:ascii="Arial" w:hAnsi="Arial"/>
                <w:color w:val="000000"/>
                <w:sz w:val="16"/>
              </w:rPr>
              <w:t xml:space="preserve"> </w:t>
            </w:r>
          </w:p>
        </w:tc>
        <w:tc>
          <w:tcPr>
            <w:tcW w:w="990" w:type="dxa"/>
            <w:vAlign w:val="center"/>
          </w:tcPr>
          <w:p w14:paraId="7B578EB5" w14:textId="77777777" w:rsidR="004E7119" w:rsidRDefault="002A3363">
            <w:pPr>
              <w:spacing w:beforeAutospacing="1" w:afterAutospacing="1"/>
              <w:jc w:val="right"/>
            </w:pPr>
            <w:r>
              <w:rPr>
                <w:rFonts w:ascii="Arial" w:hAnsi="Arial"/>
                <w:color w:val="000000"/>
                <w:sz w:val="16"/>
              </w:rPr>
              <w:t xml:space="preserve"> </w:t>
            </w:r>
          </w:p>
        </w:tc>
        <w:tc>
          <w:tcPr>
            <w:tcW w:w="720" w:type="dxa"/>
            <w:vAlign w:val="center"/>
          </w:tcPr>
          <w:p w14:paraId="690ABEA5" w14:textId="77777777" w:rsidR="004E7119" w:rsidRDefault="002A3363">
            <w:pPr>
              <w:spacing w:beforeAutospacing="1" w:afterAutospacing="1"/>
              <w:jc w:val="right"/>
            </w:pPr>
            <w:r>
              <w:rPr>
                <w:rFonts w:ascii="Arial" w:hAnsi="Arial"/>
                <w:color w:val="000000"/>
                <w:sz w:val="16"/>
              </w:rPr>
              <w:t xml:space="preserve"> </w:t>
            </w:r>
          </w:p>
        </w:tc>
      </w:tr>
    </w:tbl>
    <w:p w14:paraId="3A49266D" w14:textId="3080D53B" w:rsidR="004E7119" w:rsidRDefault="002A3363">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sidR="00A85082">
        <w:rPr>
          <w:rFonts w:asciiTheme="minorHAnsi" w:hAnsiTheme="minorHAnsi"/>
          <w:noProof/>
        </w:rPr>
        <w:t>14</w:t>
      </w:r>
      <w:r>
        <w:rPr>
          <w:rFonts w:asciiTheme="minorHAnsi" w:hAnsiTheme="minorHAnsi"/>
        </w:rPr>
        <w:fldChar w:fldCharType="end"/>
      </w:r>
      <w:r>
        <w:rPr>
          <w:rFonts w:asciiTheme="minorHAnsi" w:hAnsiTheme="minorHAnsi"/>
        </w:rPr>
        <w:t xml:space="preserve"> – Total Labor Hours</w:t>
      </w:r>
    </w:p>
    <w:p w14:paraId="2353F2CD" w14:textId="77777777" w:rsidR="004E7119" w:rsidRDefault="004E7119">
      <w:pPr>
        <w:widowControl w:val="0"/>
        <w:rPr>
          <w:b/>
          <w:sz w:val="24"/>
          <w:szCs w:val="24"/>
        </w:rPr>
      </w:pPr>
    </w:p>
    <w:tbl>
      <w:tblPr>
        <w:tblW w:w="5021"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335"/>
        <w:gridCol w:w="793"/>
        <w:gridCol w:w="881"/>
        <w:gridCol w:w="706"/>
        <w:gridCol w:w="968"/>
        <w:gridCol w:w="706"/>
      </w:tblGrid>
      <w:tr w:rsidR="004E7119" w14:paraId="1EA0E647" w14:textId="77777777">
        <w:trPr>
          <w:cantSplit/>
        </w:trPr>
        <w:tc>
          <w:tcPr>
            <w:tcW w:w="5490" w:type="dxa"/>
          </w:tcPr>
          <w:p w14:paraId="669655B9" w14:textId="77777777" w:rsidR="004E7119" w:rsidRDefault="002A3363">
            <w:pPr>
              <w:keepNext/>
              <w:widowControl w:val="0"/>
              <w:tabs>
                <w:tab w:val="left" w:pos="2070"/>
              </w:tabs>
              <w:spacing w:after="0" w:line="240" w:lineRule="auto"/>
              <w:ind w:right="162"/>
              <w:jc w:val="center"/>
              <w:rPr>
                <w:b/>
              </w:rPr>
            </w:pPr>
            <w:r>
              <w:rPr>
                <w:b/>
              </w:rPr>
              <w:t>Qualitative Efforts - Number of Activities by Program</w:t>
            </w:r>
          </w:p>
        </w:tc>
        <w:tc>
          <w:tcPr>
            <w:tcW w:w="810" w:type="dxa"/>
          </w:tcPr>
          <w:p w14:paraId="30637D57" w14:textId="77777777" w:rsidR="004E7119" w:rsidRDefault="002A3363">
            <w:pPr>
              <w:keepNext/>
              <w:widowControl w:val="0"/>
              <w:spacing w:after="0" w:line="240" w:lineRule="auto"/>
              <w:jc w:val="center"/>
              <w:rPr>
                <w:b/>
              </w:rPr>
            </w:pPr>
            <w:r>
              <w:rPr>
                <w:b/>
              </w:rPr>
              <w:t>CDBG</w:t>
            </w:r>
          </w:p>
        </w:tc>
        <w:tc>
          <w:tcPr>
            <w:tcW w:w="900" w:type="dxa"/>
          </w:tcPr>
          <w:p w14:paraId="73CC31FE" w14:textId="77777777" w:rsidR="004E7119" w:rsidRDefault="002A3363">
            <w:pPr>
              <w:keepNext/>
              <w:widowControl w:val="0"/>
              <w:spacing w:after="0" w:line="240" w:lineRule="auto"/>
              <w:jc w:val="center"/>
              <w:rPr>
                <w:b/>
              </w:rPr>
            </w:pPr>
            <w:r>
              <w:rPr>
                <w:b/>
              </w:rPr>
              <w:t>HOME</w:t>
            </w:r>
          </w:p>
        </w:tc>
        <w:tc>
          <w:tcPr>
            <w:tcW w:w="720" w:type="dxa"/>
          </w:tcPr>
          <w:p w14:paraId="7BA6D0BC" w14:textId="77777777" w:rsidR="004E7119" w:rsidRDefault="002A3363">
            <w:pPr>
              <w:keepNext/>
              <w:widowControl w:val="0"/>
              <w:spacing w:after="0" w:line="240" w:lineRule="auto"/>
              <w:rPr>
                <w:b/>
              </w:rPr>
            </w:pPr>
            <w:r>
              <w:rPr>
                <w:b/>
              </w:rPr>
              <w:t>ESG</w:t>
            </w:r>
          </w:p>
        </w:tc>
        <w:tc>
          <w:tcPr>
            <w:tcW w:w="990" w:type="dxa"/>
          </w:tcPr>
          <w:p w14:paraId="49A2B90D" w14:textId="77777777" w:rsidR="004E7119" w:rsidRDefault="002A3363">
            <w:pPr>
              <w:keepNext/>
              <w:widowControl w:val="0"/>
              <w:spacing w:after="0" w:line="240" w:lineRule="auto"/>
              <w:jc w:val="center"/>
              <w:rPr>
                <w:b/>
              </w:rPr>
            </w:pPr>
            <w:r>
              <w:rPr>
                <w:b/>
              </w:rPr>
              <w:t>HOPWA</w:t>
            </w:r>
          </w:p>
        </w:tc>
        <w:tc>
          <w:tcPr>
            <w:tcW w:w="720" w:type="dxa"/>
          </w:tcPr>
          <w:p w14:paraId="02A21233" w14:textId="77777777" w:rsidR="004E7119" w:rsidRDefault="002A3363">
            <w:pPr>
              <w:keepNext/>
              <w:widowControl w:val="0"/>
              <w:spacing w:after="0" w:line="240" w:lineRule="auto"/>
              <w:jc w:val="center"/>
              <w:rPr>
                <w:b/>
              </w:rPr>
            </w:pPr>
            <w:r>
              <w:rPr>
                <w:b/>
              </w:rPr>
              <w:t>HTF</w:t>
            </w:r>
          </w:p>
        </w:tc>
      </w:tr>
      <w:tr w:rsidR="004E7119" w14:paraId="35868320" w14:textId="77777777">
        <w:trPr>
          <w:cantSplit/>
        </w:trPr>
        <w:tc>
          <w:tcPr>
            <w:tcW w:w="5490" w:type="dxa"/>
            <w:vAlign w:val="center"/>
          </w:tcPr>
          <w:p w14:paraId="1DAEEAAB" w14:textId="77777777" w:rsidR="004E7119" w:rsidRDefault="002A3363">
            <w:pPr>
              <w:spacing w:beforeAutospacing="1" w:afterAutospacing="1"/>
            </w:pPr>
            <w:r>
              <w:rPr>
                <w:rFonts w:ascii="Arial" w:hAnsi="Arial"/>
                <w:color w:val="25396E"/>
                <w:sz w:val="16"/>
              </w:rPr>
              <w:t>Outreach efforts to generate job applicants who are Public Housing Targeted Workers</w:t>
            </w:r>
          </w:p>
        </w:tc>
        <w:tc>
          <w:tcPr>
            <w:tcW w:w="810" w:type="dxa"/>
            <w:vAlign w:val="center"/>
          </w:tcPr>
          <w:p w14:paraId="5A6D676E" w14:textId="77777777" w:rsidR="004E7119" w:rsidRDefault="002A3363">
            <w:pPr>
              <w:spacing w:beforeAutospacing="1" w:afterAutospacing="1"/>
              <w:jc w:val="right"/>
            </w:pPr>
            <w:r>
              <w:rPr>
                <w:rFonts w:ascii="Arial" w:hAnsi="Arial"/>
                <w:color w:val="000000"/>
                <w:sz w:val="16"/>
              </w:rPr>
              <w:t>0</w:t>
            </w:r>
          </w:p>
        </w:tc>
        <w:tc>
          <w:tcPr>
            <w:tcW w:w="900" w:type="dxa"/>
            <w:vAlign w:val="center"/>
          </w:tcPr>
          <w:p w14:paraId="3225C17A" w14:textId="77777777" w:rsidR="004E7119" w:rsidRDefault="002A3363">
            <w:pPr>
              <w:spacing w:beforeAutospacing="1" w:afterAutospacing="1"/>
              <w:jc w:val="right"/>
            </w:pPr>
            <w:r>
              <w:rPr>
                <w:rFonts w:ascii="Arial" w:hAnsi="Arial"/>
                <w:color w:val="000000"/>
                <w:sz w:val="16"/>
              </w:rPr>
              <w:t>0</w:t>
            </w:r>
          </w:p>
        </w:tc>
        <w:tc>
          <w:tcPr>
            <w:tcW w:w="720" w:type="dxa"/>
            <w:vAlign w:val="center"/>
          </w:tcPr>
          <w:p w14:paraId="6D7C28FA" w14:textId="77777777" w:rsidR="004E7119" w:rsidRDefault="002A3363">
            <w:pPr>
              <w:spacing w:beforeAutospacing="1" w:afterAutospacing="1"/>
              <w:jc w:val="right"/>
            </w:pPr>
            <w:r>
              <w:rPr>
                <w:rFonts w:ascii="Arial" w:hAnsi="Arial"/>
                <w:color w:val="000000"/>
                <w:sz w:val="16"/>
              </w:rPr>
              <w:t xml:space="preserve"> </w:t>
            </w:r>
          </w:p>
        </w:tc>
        <w:tc>
          <w:tcPr>
            <w:tcW w:w="990" w:type="dxa"/>
            <w:vAlign w:val="center"/>
          </w:tcPr>
          <w:p w14:paraId="4F3CFFD9" w14:textId="77777777" w:rsidR="004E7119" w:rsidRDefault="002A3363">
            <w:pPr>
              <w:spacing w:beforeAutospacing="1" w:afterAutospacing="1"/>
              <w:jc w:val="right"/>
            </w:pPr>
            <w:r>
              <w:rPr>
                <w:rFonts w:ascii="Arial" w:hAnsi="Arial"/>
                <w:color w:val="000000"/>
                <w:sz w:val="16"/>
              </w:rPr>
              <w:t xml:space="preserve"> </w:t>
            </w:r>
          </w:p>
        </w:tc>
        <w:tc>
          <w:tcPr>
            <w:tcW w:w="720" w:type="dxa"/>
            <w:vAlign w:val="center"/>
          </w:tcPr>
          <w:p w14:paraId="722FF993" w14:textId="77777777" w:rsidR="004E7119" w:rsidRDefault="002A3363">
            <w:pPr>
              <w:spacing w:beforeAutospacing="1" w:afterAutospacing="1"/>
              <w:jc w:val="right"/>
            </w:pPr>
            <w:r>
              <w:rPr>
                <w:rFonts w:ascii="Arial" w:hAnsi="Arial"/>
                <w:color w:val="000000"/>
                <w:sz w:val="16"/>
              </w:rPr>
              <w:t xml:space="preserve"> </w:t>
            </w:r>
          </w:p>
        </w:tc>
      </w:tr>
      <w:tr w:rsidR="004E7119" w14:paraId="57697FBD" w14:textId="77777777">
        <w:trPr>
          <w:cantSplit/>
        </w:trPr>
        <w:tc>
          <w:tcPr>
            <w:tcW w:w="5490" w:type="dxa"/>
            <w:vAlign w:val="center"/>
          </w:tcPr>
          <w:p w14:paraId="04612CE2" w14:textId="77777777" w:rsidR="004E7119" w:rsidRDefault="002A3363">
            <w:pPr>
              <w:spacing w:beforeAutospacing="1" w:afterAutospacing="1"/>
            </w:pPr>
            <w:r>
              <w:rPr>
                <w:rFonts w:ascii="Arial" w:hAnsi="Arial"/>
                <w:color w:val="25396E"/>
                <w:sz w:val="16"/>
              </w:rPr>
              <w:t>Outreach efforts to generate job applicants who are Other Funding Targeted Workers.</w:t>
            </w:r>
          </w:p>
        </w:tc>
        <w:tc>
          <w:tcPr>
            <w:tcW w:w="810" w:type="dxa"/>
            <w:vAlign w:val="center"/>
          </w:tcPr>
          <w:p w14:paraId="1F038DCE" w14:textId="77777777" w:rsidR="004E7119" w:rsidRDefault="002A3363">
            <w:pPr>
              <w:spacing w:beforeAutospacing="1" w:afterAutospacing="1"/>
              <w:jc w:val="right"/>
            </w:pPr>
            <w:r>
              <w:rPr>
                <w:rFonts w:ascii="Arial" w:hAnsi="Arial"/>
                <w:color w:val="000000"/>
                <w:sz w:val="16"/>
              </w:rPr>
              <w:t>0</w:t>
            </w:r>
          </w:p>
        </w:tc>
        <w:tc>
          <w:tcPr>
            <w:tcW w:w="900" w:type="dxa"/>
            <w:vAlign w:val="center"/>
          </w:tcPr>
          <w:p w14:paraId="6663D80C" w14:textId="77777777" w:rsidR="004E7119" w:rsidRDefault="002A3363">
            <w:pPr>
              <w:spacing w:beforeAutospacing="1" w:afterAutospacing="1"/>
              <w:jc w:val="right"/>
            </w:pPr>
            <w:r>
              <w:rPr>
                <w:rFonts w:ascii="Arial" w:hAnsi="Arial"/>
                <w:color w:val="000000"/>
                <w:sz w:val="16"/>
              </w:rPr>
              <w:t>0</w:t>
            </w:r>
          </w:p>
        </w:tc>
        <w:tc>
          <w:tcPr>
            <w:tcW w:w="720" w:type="dxa"/>
            <w:vAlign w:val="center"/>
          </w:tcPr>
          <w:p w14:paraId="1F6437C0" w14:textId="77777777" w:rsidR="004E7119" w:rsidRDefault="002A3363">
            <w:pPr>
              <w:spacing w:beforeAutospacing="1" w:afterAutospacing="1"/>
              <w:jc w:val="right"/>
            </w:pPr>
            <w:r>
              <w:rPr>
                <w:rFonts w:ascii="Arial" w:hAnsi="Arial"/>
                <w:color w:val="000000"/>
                <w:sz w:val="16"/>
              </w:rPr>
              <w:t xml:space="preserve"> </w:t>
            </w:r>
          </w:p>
        </w:tc>
        <w:tc>
          <w:tcPr>
            <w:tcW w:w="990" w:type="dxa"/>
            <w:vAlign w:val="center"/>
          </w:tcPr>
          <w:p w14:paraId="62BB9019" w14:textId="77777777" w:rsidR="004E7119" w:rsidRDefault="002A3363">
            <w:pPr>
              <w:spacing w:beforeAutospacing="1" w:afterAutospacing="1"/>
              <w:jc w:val="right"/>
            </w:pPr>
            <w:r>
              <w:rPr>
                <w:rFonts w:ascii="Arial" w:hAnsi="Arial"/>
                <w:color w:val="000000"/>
                <w:sz w:val="16"/>
              </w:rPr>
              <w:t xml:space="preserve"> </w:t>
            </w:r>
          </w:p>
        </w:tc>
        <w:tc>
          <w:tcPr>
            <w:tcW w:w="720" w:type="dxa"/>
            <w:vAlign w:val="center"/>
          </w:tcPr>
          <w:p w14:paraId="5093F6A2" w14:textId="77777777" w:rsidR="004E7119" w:rsidRDefault="002A3363">
            <w:pPr>
              <w:spacing w:beforeAutospacing="1" w:afterAutospacing="1"/>
              <w:jc w:val="right"/>
            </w:pPr>
            <w:r>
              <w:rPr>
                <w:rFonts w:ascii="Arial" w:hAnsi="Arial"/>
                <w:color w:val="000000"/>
                <w:sz w:val="16"/>
              </w:rPr>
              <w:t xml:space="preserve"> </w:t>
            </w:r>
          </w:p>
        </w:tc>
      </w:tr>
      <w:tr w:rsidR="004E7119" w14:paraId="600BA5D9" w14:textId="77777777">
        <w:trPr>
          <w:cantSplit/>
        </w:trPr>
        <w:tc>
          <w:tcPr>
            <w:tcW w:w="5490" w:type="dxa"/>
            <w:vAlign w:val="center"/>
          </w:tcPr>
          <w:p w14:paraId="05565C2A" w14:textId="77777777" w:rsidR="004E7119" w:rsidRDefault="002A3363">
            <w:pPr>
              <w:spacing w:beforeAutospacing="1" w:afterAutospacing="1"/>
            </w:pPr>
            <w:r>
              <w:rPr>
                <w:rFonts w:ascii="Arial" w:hAnsi="Arial"/>
                <w:color w:val="25396E"/>
                <w:sz w:val="16"/>
              </w:rPr>
              <w:t>Direct, on-the job training (including apprenticeships).</w:t>
            </w:r>
          </w:p>
        </w:tc>
        <w:tc>
          <w:tcPr>
            <w:tcW w:w="810" w:type="dxa"/>
            <w:vAlign w:val="center"/>
          </w:tcPr>
          <w:p w14:paraId="5D1A7D50" w14:textId="77777777" w:rsidR="004E7119" w:rsidRDefault="002A3363">
            <w:pPr>
              <w:spacing w:beforeAutospacing="1" w:afterAutospacing="1"/>
              <w:jc w:val="right"/>
            </w:pPr>
            <w:r>
              <w:rPr>
                <w:rFonts w:ascii="Arial" w:hAnsi="Arial"/>
                <w:color w:val="000000"/>
                <w:sz w:val="16"/>
              </w:rPr>
              <w:t>0</w:t>
            </w:r>
          </w:p>
        </w:tc>
        <w:tc>
          <w:tcPr>
            <w:tcW w:w="900" w:type="dxa"/>
            <w:vAlign w:val="center"/>
          </w:tcPr>
          <w:p w14:paraId="5C465FE5" w14:textId="77777777" w:rsidR="004E7119" w:rsidRDefault="002A3363">
            <w:pPr>
              <w:spacing w:beforeAutospacing="1" w:afterAutospacing="1"/>
              <w:jc w:val="right"/>
            </w:pPr>
            <w:r>
              <w:rPr>
                <w:rFonts w:ascii="Arial" w:hAnsi="Arial"/>
                <w:color w:val="000000"/>
                <w:sz w:val="16"/>
              </w:rPr>
              <w:t>0</w:t>
            </w:r>
          </w:p>
        </w:tc>
        <w:tc>
          <w:tcPr>
            <w:tcW w:w="720" w:type="dxa"/>
            <w:vAlign w:val="center"/>
          </w:tcPr>
          <w:p w14:paraId="12D9BB5F" w14:textId="77777777" w:rsidR="004E7119" w:rsidRDefault="002A3363">
            <w:pPr>
              <w:spacing w:beforeAutospacing="1" w:afterAutospacing="1"/>
              <w:jc w:val="right"/>
            </w:pPr>
            <w:r>
              <w:rPr>
                <w:rFonts w:ascii="Arial" w:hAnsi="Arial"/>
                <w:color w:val="000000"/>
                <w:sz w:val="16"/>
              </w:rPr>
              <w:t xml:space="preserve"> </w:t>
            </w:r>
          </w:p>
        </w:tc>
        <w:tc>
          <w:tcPr>
            <w:tcW w:w="990" w:type="dxa"/>
            <w:vAlign w:val="center"/>
          </w:tcPr>
          <w:p w14:paraId="45F5E38F" w14:textId="77777777" w:rsidR="004E7119" w:rsidRDefault="002A3363">
            <w:pPr>
              <w:spacing w:beforeAutospacing="1" w:afterAutospacing="1"/>
              <w:jc w:val="right"/>
            </w:pPr>
            <w:r>
              <w:rPr>
                <w:rFonts w:ascii="Arial" w:hAnsi="Arial"/>
                <w:color w:val="000000"/>
                <w:sz w:val="16"/>
              </w:rPr>
              <w:t xml:space="preserve"> </w:t>
            </w:r>
          </w:p>
        </w:tc>
        <w:tc>
          <w:tcPr>
            <w:tcW w:w="720" w:type="dxa"/>
            <w:vAlign w:val="center"/>
          </w:tcPr>
          <w:p w14:paraId="0527B9B2" w14:textId="77777777" w:rsidR="004E7119" w:rsidRDefault="002A3363">
            <w:pPr>
              <w:spacing w:beforeAutospacing="1" w:afterAutospacing="1"/>
              <w:jc w:val="right"/>
            </w:pPr>
            <w:r>
              <w:rPr>
                <w:rFonts w:ascii="Arial" w:hAnsi="Arial"/>
                <w:color w:val="000000"/>
                <w:sz w:val="16"/>
              </w:rPr>
              <w:t xml:space="preserve"> </w:t>
            </w:r>
          </w:p>
        </w:tc>
      </w:tr>
      <w:tr w:rsidR="004E7119" w14:paraId="06912737" w14:textId="77777777">
        <w:trPr>
          <w:cantSplit/>
        </w:trPr>
        <w:tc>
          <w:tcPr>
            <w:tcW w:w="5490" w:type="dxa"/>
            <w:vAlign w:val="center"/>
          </w:tcPr>
          <w:p w14:paraId="39E65AE9" w14:textId="77777777" w:rsidR="004E7119" w:rsidRDefault="002A3363">
            <w:pPr>
              <w:spacing w:beforeAutospacing="1" w:afterAutospacing="1"/>
            </w:pPr>
            <w:r>
              <w:rPr>
                <w:rFonts w:ascii="Arial" w:hAnsi="Arial"/>
                <w:color w:val="25396E"/>
                <w:sz w:val="16"/>
              </w:rPr>
              <w:t>Indirect training such as arranging for, contracting for, or paying tuition for, off-site training.</w:t>
            </w:r>
          </w:p>
        </w:tc>
        <w:tc>
          <w:tcPr>
            <w:tcW w:w="810" w:type="dxa"/>
            <w:vAlign w:val="center"/>
          </w:tcPr>
          <w:p w14:paraId="553A77C2" w14:textId="77777777" w:rsidR="004E7119" w:rsidRDefault="002A3363">
            <w:pPr>
              <w:spacing w:beforeAutospacing="1" w:afterAutospacing="1"/>
              <w:jc w:val="right"/>
            </w:pPr>
            <w:r>
              <w:rPr>
                <w:rFonts w:ascii="Arial" w:hAnsi="Arial"/>
                <w:color w:val="000000"/>
                <w:sz w:val="16"/>
              </w:rPr>
              <w:t>0</w:t>
            </w:r>
          </w:p>
        </w:tc>
        <w:tc>
          <w:tcPr>
            <w:tcW w:w="900" w:type="dxa"/>
            <w:vAlign w:val="center"/>
          </w:tcPr>
          <w:p w14:paraId="3F112285" w14:textId="77777777" w:rsidR="004E7119" w:rsidRDefault="002A3363">
            <w:pPr>
              <w:spacing w:beforeAutospacing="1" w:afterAutospacing="1"/>
              <w:jc w:val="right"/>
            </w:pPr>
            <w:r>
              <w:rPr>
                <w:rFonts w:ascii="Arial" w:hAnsi="Arial"/>
                <w:color w:val="000000"/>
                <w:sz w:val="16"/>
              </w:rPr>
              <w:t>0</w:t>
            </w:r>
          </w:p>
        </w:tc>
        <w:tc>
          <w:tcPr>
            <w:tcW w:w="720" w:type="dxa"/>
            <w:vAlign w:val="center"/>
          </w:tcPr>
          <w:p w14:paraId="0F662861" w14:textId="77777777" w:rsidR="004E7119" w:rsidRDefault="002A3363">
            <w:pPr>
              <w:spacing w:beforeAutospacing="1" w:afterAutospacing="1"/>
              <w:jc w:val="right"/>
            </w:pPr>
            <w:r>
              <w:rPr>
                <w:rFonts w:ascii="Arial" w:hAnsi="Arial"/>
                <w:color w:val="000000"/>
                <w:sz w:val="16"/>
              </w:rPr>
              <w:t xml:space="preserve"> </w:t>
            </w:r>
          </w:p>
        </w:tc>
        <w:tc>
          <w:tcPr>
            <w:tcW w:w="990" w:type="dxa"/>
            <w:vAlign w:val="center"/>
          </w:tcPr>
          <w:p w14:paraId="5D27BF78" w14:textId="77777777" w:rsidR="004E7119" w:rsidRDefault="002A3363">
            <w:pPr>
              <w:spacing w:beforeAutospacing="1" w:afterAutospacing="1"/>
              <w:jc w:val="right"/>
            </w:pPr>
            <w:r>
              <w:rPr>
                <w:rFonts w:ascii="Arial" w:hAnsi="Arial"/>
                <w:color w:val="000000"/>
                <w:sz w:val="16"/>
              </w:rPr>
              <w:t xml:space="preserve"> </w:t>
            </w:r>
          </w:p>
        </w:tc>
        <w:tc>
          <w:tcPr>
            <w:tcW w:w="720" w:type="dxa"/>
            <w:vAlign w:val="center"/>
          </w:tcPr>
          <w:p w14:paraId="58E93B34" w14:textId="77777777" w:rsidR="004E7119" w:rsidRDefault="002A3363">
            <w:pPr>
              <w:spacing w:beforeAutospacing="1" w:afterAutospacing="1"/>
              <w:jc w:val="right"/>
            </w:pPr>
            <w:r>
              <w:rPr>
                <w:rFonts w:ascii="Arial" w:hAnsi="Arial"/>
                <w:color w:val="000000"/>
                <w:sz w:val="16"/>
              </w:rPr>
              <w:t xml:space="preserve"> </w:t>
            </w:r>
          </w:p>
        </w:tc>
      </w:tr>
      <w:tr w:rsidR="004E7119" w14:paraId="355EE07F" w14:textId="77777777">
        <w:trPr>
          <w:cantSplit/>
        </w:trPr>
        <w:tc>
          <w:tcPr>
            <w:tcW w:w="5490" w:type="dxa"/>
            <w:vAlign w:val="center"/>
          </w:tcPr>
          <w:p w14:paraId="099A1CFC" w14:textId="77777777" w:rsidR="004E7119" w:rsidRDefault="002A3363">
            <w:pPr>
              <w:spacing w:beforeAutospacing="1" w:afterAutospacing="1"/>
            </w:pPr>
            <w:r>
              <w:rPr>
                <w:rFonts w:ascii="Arial" w:hAnsi="Arial"/>
                <w:color w:val="25396E"/>
                <w:sz w:val="16"/>
              </w:rPr>
              <w:t>Technical assistance to help Section 3 workers compete for jobs (e.g., resume assistance, coaching).</w:t>
            </w:r>
          </w:p>
        </w:tc>
        <w:tc>
          <w:tcPr>
            <w:tcW w:w="810" w:type="dxa"/>
            <w:vAlign w:val="center"/>
          </w:tcPr>
          <w:p w14:paraId="7856A544" w14:textId="77777777" w:rsidR="004E7119" w:rsidRDefault="002A3363">
            <w:pPr>
              <w:spacing w:beforeAutospacing="1" w:afterAutospacing="1"/>
              <w:jc w:val="right"/>
            </w:pPr>
            <w:r>
              <w:rPr>
                <w:rFonts w:ascii="Arial" w:hAnsi="Arial"/>
                <w:color w:val="000000"/>
                <w:sz w:val="16"/>
              </w:rPr>
              <w:t>0</w:t>
            </w:r>
          </w:p>
        </w:tc>
        <w:tc>
          <w:tcPr>
            <w:tcW w:w="900" w:type="dxa"/>
            <w:vAlign w:val="center"/>
          </w:tcPr>
          <w:p w14:paraId="2F0F2AF9" w14:textId="77777777" w:rsidR="004E7119" w:rsidRDefault="002A3363">
            <w:pPr>
              <w:spacing w:beforeAutospacing="1" w:afterAutospacing="1"/>
              <w:jc w:val="right"/>
            </w:pPr>
            <w:r>
              <w:rPr>
                <w:rFonts w:ascii="Arial" w:hAnsi="Arial"/>
                <w:color w:val="000000"/>
                <w:sz w:val="16"/>
              </w:rPr>
              <w:t>0</w:t>
            </w:r>
          </w:p>
        </w:tc>
        <w:tc>
          <w:tcPr>
            <w:tcW w:w="720" w:type="dxa"/>
            <w:vAlign w:val="center"/>
          </w:tcPr>
          <w:p w14:paraId="73F0634D" w14:textId="77777777" w:rsidR="004E7119" w:rsidRDefault="002A3363">
            <w:pPr>
              <w:spacing w:beforeAutospacing="1" w:afterAutospacing="1"/>
              <w:jc w:val="right"/>
            </w:pPr>
            <w:r>
              <w:rPr>
                <w:rFonts w:ascii="Arial" w:hAnsi="Arial"/>
                <w:color w:val="000000"/>
                <w:sz w:val="16"/>
              </w:rPr>
              <w:t xml:space="preserve"> </w:t>
            </w:r>
          </w:p>
        </w:tc>
        <w:tc>
          <w:tcPr>
            <w:tcW w:w="990" w:type="dxa"/>
            <w:vAlign w:val="center"/>
          </w:tcPr>
          <w:p w14:paraId="681E80CC" w14:textId="77777777" w:rsidR="004E7119" w:rsidRDefault="002A3363">
            <w:pPr>
              <w:spacing w:beforeAutospacing="1" w:afterAutospacing="1"/>
              <w:jc w:val="right"/>
            </w:pPr>
            <w:r>
              <w:rPr>
                <w:rFonts w:ascii="Arial" w:hAnsi="Arial"/>
                <w:color w:val="000000"/>
                <w:sz w:val="16"/>
              </w:rPr>
              <w:t xml:space="preserve"> </w:t>
            </w:r>
          </w:p>
        </w:tc>
        <w:tc>
          <w:tcPr>
            <w:tcW w:w="720" w:type="dxa"/>
            <w:vAlign w:val="center"/>
          </w:tcPr>
          <w:p w14:paraId="75400DD0" w14:textId="77777777" w:rsidR="004E7119" w:rsidRDefault="002A3363">
            <w:pPr>
              <w:spacing w:beforeAutospacing="1" w:afterAutospacing="1"/>
              <w:jc w:val="right"/>
            </w:pPr>
            <w:r>
              <w:rPr>
                <w:rFonts w:ascii="Arial" w:hAnsi="Arial"/>
                <w:color w:val="000000"/>
                <w:sz w:val="16"/>
              </w:rPr>
              <w:t xml:space="preserve"> </w:t>
            </w:r>
          </w:p>
        </w:tc>
      </w:tr>
      <w:tr w:rsidR="004E7119" w14:paraId="08FD6D2E" w14:textId="77777777">
        <w:trPr>
          <w:cantSplit/>
        </w:trPr>
        <w:tc>
          <w:tcPr>
            <w:tcW w:w="5490" w:type="dxa"/>
            <w:vAlign w:val="center"/>
          </w:tcPr>
          <w:p w14:paraId="13D72C66" w14:textId="77777777" w:rsidR="004E7119" w:rsidRDefault="002A3363">
            <w:pPr>
              <w:spacing w:beforeAutospacing="1" w:afterAutospacing="1"/>
            </w:pPr>
            <w:r>
              <w:rPr>
                <w:rFonts w:ascii="Arial" w:hAnsi="Arial"/>
                <w:color w:val="25396E"/>
                <w:sz w:val="16"/>
              </w:rPr>
              <w:t>Outreach efforts to identify and secure bids from Section 3 business concerns.</w:t>
            </w:r>
          </w:p>
        </w:tc>
        <w:tc>
          <w:tcPr>
            <w:tcW w:w="810" w:type="dxa"/>
            <w:vAlign w:val="center"/>
          </w:tcPr>
          <w:p w14:paraId="40CF0ABD" w14:textId="77777777" w:rsidR="004E7119" w:rsidRDefault="002A3363">
            <w:pPr>
              <w:spacing w:beforeAutospacing="1" w:afterAutospacing="1"/>
              <w:jc w:val="right"/>
            </w:pPr>
            <w:r>
              <w:rPr>
                <w:rFonts w:ascii="Arial" w:hAnsi="Arial"/>
                <w:color w:val="000000"/>
                <w:sz w:val="16"/>
              </w:rPr>
              <w:t>0</w:t>
            </w:r>
          </w:p>
        </w:tc>
        <w:tc>
          <w:tcPr>
            <w:tcW w:w="900" w:type="dxa"/>
            <w:vAlign w:val="center"/>
          </w:tcPr>
          <w:p w14:paraId="61DBCBA6" w14:textId="77777777" w:rsidR="004E7119" w:rsidRDefault="002A3363">
            <w:pPr>
              <w:spacing w:beforeAutospacing="1" w:afterAutospacing="1"/>
              <w:jc w:val="right"/>
            </w:pPr>
            <w:r>
              <w:rPr>
                <w:rFonts w:ascii="Arial" w:hAnsi="Arial"/>
                <w:color w:val="000000"/>
                <w:sz w:val="16"/>
              </w:rPr>
              <w:t>1</w:t>
            </w:r>
          </w:p>
        </w:tc>
        <w:tc>
          <w:tcPr>
            <w:tcW w:w="720" w:type="dxa"/>
            <w:vAlign w:val="center"/>
          </w:tcPr>
          <w:p w14:paraId="48209B16" w14:textId="77777777" w:rsidR="004E7119" w:rsidRDefault="002A3363">
            <w:pPr>
              <w:spacing w:beforeAutospacing="1" w:afterAutospacing="1"/>
              <w:jc w:val="right"/>
            </w:pPr>
            <w:r>
              <w:rPr>
                <w:rFonts w:ascii="Arial" w:hAnsi="Arial"/>
                <w:color w:val="000000"/>
                <w:sz w:val="16"/>
              </w:rPr>
              <w:t xml:space="preserve"> </w:t>
            </w:r>
          </w:p>
        </w:tc>
        <w:tc>
          <w:tcPr>
            <w:tcW w:w="990" w:type="dxa"/>
            <w:vAlign w:val="center"/>
          </w:tcPr>
          <w:p w14:paraId="25EA7788" w14:textId="77777777" w:rsidR="004E7119" w:rsidRDefault="002A3363">
            <w:pPr>
              <w:spacing w:beforeAutospacing="1" w:afterAutospacing="1"/>
              <w:jc w:val="right"/>
            </w:pPr>
            <w:r>
              <w:rPr>
                <w:rFonts w:ascii="Arial" w:hAnsi="Arial"/>
                <w:color w:val="000000"/>
                <w:sz w:val="16"/>
              </w:rPr>
              <w:t xml:space="preserve"> </w:t>
            </w:r>
          </w:p>
        </w:tc>
        <w:tc>
          <w:tcPr>
            <w:tcW w:w="720" w:type="dxa"/>
            <w:vAlign w:val="center"/>
          </w:tcPr>
          <w:p w14:paraId="2EF85C65" w14:textId="77777777" w:rsidR="004E7119" w:rsidRDefault="002A3363">
            <w:pPr>
              <w:spacing w:beforeAutospacing="1" w:afterAutospacing="1"/>
              <w:jc w:val="right"/>
            </w:pPr>
            <w:r>
              <w:rPr>
                <w:rFonts w:ascii="Arial" w:hAnsi="Arial"/>
                <w:color w:val="000000"/>
                <w:sz w:val="16"/>
              </w:rPr>
              <w:t xml:space="preserve"> </w:t>
            </w:r>
          </w:p>
        </w:tc>
      </w:tr>
      <w:tr w:rsidR="004E7119" w14:paraId="0A68712B" w14:textId="77777777">
        <w:trPr>
          <w:cantSplit/>
        </w:trPr>
        <w:tc>
          <w:tcPr>
            <w:tcW w:w="5490" w:type="dxa"/>
            <w:vAlign w:val="center"/>
          </w:tcPr>
          <w:p w14:paraId="7D52330E" w14:textId="77777777" w:rsidR="004E7119" w:rsidRDefault="002A3363">
            <w:pPr>
              <w:spacing w:beforeAutospacing="1" w:afterAutospacing="1"/>
            </w:pPr>
            <w:r>
              <w:rPr>
                <w:rFonts w:ascii="Arial" w:hAnsi="Arial"/>
                <w:color w:val="25396E"/>
                <w:sz w:val="16"/>
              </w:rPr>
              <w:t>Technical assistance to help Section 3 business concerns understand and bid on contracts.</w:t>
            </w:r>
          </w:p>
        </w:tc>
        <w:tc>
          <w:tcPr>
            <w:tcW w:w="810" w:type="dxa"/>
            <w:vAlign w:val="center"/>
          </w:tcPr>
          <w:p w14:paraId="557DACE0" w14:textId="77777777" w:rsidR="004E7119" w:rsidRDefault="002A3363">
            <w:pPr>
              <w:spacing w:beforeAutospacing="1" w:afterAutospacing="1"/>
              <w:jc w:val="right"/>
            </w:pPr>
            <w:r>
              <w:rPr>
                <w:rFonts w:ascii="Arial" w:hAnsi="Arial"/>
                <w:color w:val="000000"/>
                <w:sz w:val="16"/>
              </w:rPr>
              <w:t>0</w:t>
            </w:r>
          </w:p>
        </w:tc>
        <w:tc>
          <w:tcPr>
            <w:tcW w:w="900" w:type="dxa"/>
            <w:vAlign w:val="center"/>
          </w:tcPr>
          <w:p w14:paraId="515DF2E7" w14:textId="77777777" w:rsidR="004E7119" w:rsidRDefault="002A3363">
            <w:pPr>
              <w:spacing w:beforeAutospacing="1" w:afterAutospacing="1"/>
              <w:jc w:val="right"/>
            </w:pPr>
            <w:r>
              <w:rPr>
                <w:rFonts w:ascii="Arial" w:hAnsi="Arial"/>
                <w:color w:val="000000"/>
                <w:sz w:val="16"/>
              </w:rPr>
              <w:t>1</w:t>
            </w:r>
          </w:p>
        </w:tc>
        <w:tc>
          <w:tcPr>
            <w:tcW w:w="720" w:type="dxa"/>
            <w:vAlign w:val="center"/>
          </w:tcPr>
          <w:p w14:paraId="1C3C667B" w14:textId="77777777" w:rsidR="004E7119" w:rsidRDefault="002A3363">
            <w:pPr>
              <w:spacing w:beforeAutospacing="1" w:afterAutospacing="1"/>
              <w:jc w:val="right"/>
            </w:pPr>
            <w:r>
              <w:rPr>
                <w:rFonts w:ascii="Arial" w:hAnsi="Arial"/>
                <w:color w:val="000000"/>
                <w:sz w:val="16"/>
              </w:rPr>
              <w:t xml:space="preserve"> </w:t>
            </w:r>
          </w:p>
        </w:tc>
        <w:tc>
          <w:tcPr>
            <w:tcW w:w="990" w:type="dxa"/>
            <w:vAlign w:val="center"/>
          </w:tcPr>
          <w:p w14:paraId="54343900" w14:textId="77777777" w:rsidR="004E7119" w:rsidRDefault="002A3363">
            <w:pPr>
              <w:spacing w:beforeAutospacing="1" w:afterAutospacing="1"/>
              <w:jc w:val="right"/>
            </w:pPr>
            <w:r>
              <w:rPr>
                <w:rFonts w:ascii="Arial" w:hAnsi="Arial"/>
                <w:color w:val="000000"/>
                <w:sz w:val="16"/>
              </w:rPr>
              <w:t xml:space="preserve"> </w:t>
            </w:r>
          </w:p>
        </w:tc>
        <w:tc>
          <w:tcPr>
            <w:tcW w:w="720" w:type="dxa"/>
            <w:vAlign w:val="center"/>
          </w:tcPr>
          <w:p w14:paraId="727B974E" w14:textId="77777777" w:rsidR="004E7119" w:rsidRDefault="002A3363">
            <w:pPr>
              <w:spacing w:beforeAutospacing="1" w:afterAutospacing="1"/>
              <w:jc w:val="right"/>
            </w:pPr>
            <w:r>
              <w:rPr>
                <w:rFonts w:ascii="Arial" w:hAnsi="Arial"/>
                <w:color w:val="000000"/>
                <w:sz w:val="16"/>
              </w:rPr>
              <w:t xml:space="preserve"> </w:t>
            </w:r>
          </w:p>
        </w:tc>
      </w:tr>
      <w:tr w:rsidR="004E7119" w14:paraId="1C1A30F3" w14:textId="77777777">
        <w:trPr>
          <w:cantSplit/>
        </w:trPr>
        <w:tc>
          <w:tcPr>
            <w:tcW w:w="5490" w:type="dxa"/>
            <w:vAlign w:val="center"/>
          </w:tcPr>
          <w:p w14:paraId="63CA2C67" w14:textId="77777777" w:rsidR="004E7119" w:rsidRDefault="002A3363">
            <w:pPr>
              <w:spacing w:beforeAutospacing="1" w:afterAutospacing="1"/>
            </w:pPr>
            <w:r>
              <w:rPr>
                <w:rFonts w:ascii="Arial" w:hAnsi="Arial"/>
                <w:color w:val="25396E"/>
                <w:sz w:val="16"/>
              </w:rPr>
              <w:t>Division of contracts into smaller jobs to facilitate participation by Section 3 business concerns.</w:t>
            </w:r>
          </w:p>
        </w:tc>
        <w:tc>
          <w:tcPr>
            <w:tcW w:w="810" w:type="dxa"/>
            <w:vAlign w:val="center"/>
          </w:tcPr>
          <w:p w14:paraId="5E164495" w14:textId="77777777" w:rsidR="004E7119" w:rsidRDefault="002A3363">
            <w:pPr>
              <w:spacing w:beforeAutospacing="1" w:afterAutospacing="1"/>
              <w:jc w:val="right"/>
            </w:pPr>
            <w:r>
              <w:rPr>
                <w:rFonts w:ascii="Arial" w:hAnsi="Arial"/>
                <w:color w:val="000000"/>
                <w:sz w:val="16"/>
              </w:rPr>
              <w:t>0</w:t>
            </w:r>
          </w:p>
        </w:tc>
        <w:tc>
          <w:tcPr>
            <w:tcW w:w="900" w:type="dxa"/>
            <w:vAlign w:val="center"/>
          </w:tcPr>
          <w:p w14:paraId="1751E7D1" w14:textId="77777777" w:rsidR="004E7119" w:rsidRDefault="002A3363">
            <w:pPr>
              <w:spacing w:beforeAutospacing="1" w:afterAutospacing="1"/>
              <w:jc w:val="right"/>
            </w:pPr>
            <w:r>
              <w:rPr>
                <w:rFonts w:ascii="Arial" w:hAnsi="Arial"/>
                <w:color w:val="000000"/>
                <w:sz w:val="16"/>
              </w:rPr>
              <w:t>0</w:t>
            </w:r>
          </w:p>
        </w:tc>
        <w:tc>
          <w:tcPr>
            <w:tcW w:w="720" w:type="dxa"/>
            <w:vAlign w:val="center"/>
          </w:tcPr>
          <w:p w14:paraId="3C36EEAE" w14:textId="77777777" w:rsidR="004E7119" w:rsidRDefault="002A3363">
            <w:pPr>
              <w:spacing w:beforeAutospacing="1" w:afterAutospacing="1"/>
              <w:jc w:val="right"/>
            </w:pPr>
            <w:r>
              <w:rPr>
                <w:rFonts w:ascii="Arial" w:hAnsi="Arial"/>
                <w:color w:val="000000"/>
                <w:sz w:val="16"/>
              </w:rPr>
              <w:t xml:space="preserve"> </w:t>
            </w:r>
          </w:p>
        </w:tc>
        <w:tc>
          <w:tcPr>
            <w:tcW w:w="990" w:type="dxa"/>
            <w:vAlign w:val="center"/>
          </w:tcPr>
          <w:p w14:paraId="226F5411" w14:textId="77777777" w:rsidR="004E7119" w:rsidRDefault="002A3363">
            <w:pPr>
              <w:spacing w:beforeAutospacing="1" w:afterAutospacing="1"/>
              <w:jc w:val="right"/>
            </w:pPr>
            <w:r>
              <w:rPr>
                <w:rFonts w:ascii="Arial" w:hAnsi="Arial"/>
                <w:color w:val="000000"/>
                <w:sz w:val="16"/>
              </w:rPr>
              <w:t xml:space="preserve"> </w:t>
            </w:r>
          </w:p>
        </w:tc>
        <w:tc>
          <w:tcPr>
            <w:tcW w:w="720" w:type="dxa"/>
            <w:vAlign w:val="center"/>
          </w:tcPr>
          <w:p w14:paraId="23F8D543" w14:textId="77777777" w:rsidR="004E7119" w:rsidRDefault="002A3363">
            <w:pPr>
              <w:spacing w:beforeAutospacing="1" w:afterAutospacing="1"/>
              <w:jc w:val="right"/>
            </w:pPr>
            <w:r>
              <w:rPr>
                <w:rFonts w:ascii="Arial" w:hAnsi="Arial"/>
                <w:color w:val="000000"/>
                <w:sz w:val="16"/>
              </w:rPr>
              <w:t xml:space="preserve"> </w:t>
            </w:r>
          </w:p>
        </w:tc>
      </w:tr>
      <w:tr w:rsidR="004E7119" w14:paraId="2D212929" w14:textId="77777777">
        <w:trPr>
          <w:cantSplit/>
        </w:trPr>
        <w:tc>
          <w:tcPr>
            <w:tcW w:w="5490" w:type="dxa"/>
            <w:vAlign w:val="center"/>
          </w:tcPr>
          <w:p w14:paraId="33D4AA4D" w14:textId="77777777" w:rsidR="004E7119" w:rsidRDefault="002A3363">
            <w:pPr>
              <w:spacing w:beforeAutospacing="1" w:afterAutospacing="1"/>
            </w:pPr>
            <w:r>
              <w:rPr>
                <w:rFonts w:ascii="Arial" w:hAnsi="Arial"/>
                <w:color w:val="25396E"/>
                <w:sz w:val="16"/>
              </w:rPr>
              <w:t xml:space="preserve">Provided or connected residents with assistance in seeking employment </w:t>
            </w:r>
            <w:proofErr w:type="gramStart"/>
            <w:r>
              <w:rPr>
                <w:rFonts w:ascii="Arial" w:hAnsi="Arial"/>
                <w:color w:val="25396E"/>
                <w:sz w:val="16"/>
              </w:rPr>
              <w:t>including:</w:t>
            </w:r>
            <w:proofErr w:type="gramEnd"/>
            <w:r>
              <w:rPr>
                <w:rFonts w:ascii="Arial" w:hAnsi="Arial"/>
                <w:color w:val="25396E"/>
                <w:sz w:val="16"/>
              </w:rPr>
              <w:t xml:space="preserve"> drafting </w:t>
            </w:r>
            <w:proofErr w:type="spellStart"/>
            <w:r>
              <w:rPr>
                <w:rFonts w:ascii="Arial" w:hAnsi="Arial"/>
                <w:color w:val="25396E"/>
                <w:sz w:val="16"/>
              </w:rPr>
              <w:t>resumes,preparing</w:t>
            </w:r>
            <w:proofErr w:type="spellEnd"/>
            <w:r>
              <w:rPr>
                <w:rFonts w:ascii="Arial" w:hAnsi="Arial"/>
                <w:color w:val="25396E"/>
                <w:sz w:val="16"/>
              </w:rPr>
              <w:t xml:space="preserve"> for interviews, finding job opportunities, connecting residents to job placement services.</w:t>
            </w:r>
          </w:p>
        </w:tc>
        <w:tc>
          <w:tcPr>
            <w:tcW w:w="810" w:type="dxa"/>
            <w:vAlign w:val="center"/>
          </w:tcPr>
          <w:p w14:paraId="00962584" w14:textId="77777777" w:rsidR="004E7119" w:rsidRDefault="002A3363">
            <w:pPr>
              <w:spacing w:beforeAutospacing="1" w:afterAutospacing="1"/>
              <w:jc w:val="right"/>
            </w:pPr>
            <w:r>
              <w:rPr>
                <w:rFonts w:ascii="Arial" w:hAnsi="Arial"/>
                <w:color w:val="000000"/>
                <w:sz w:val="16"/>
              </w:rPr>
              <w:t>0</w:t>
            </w:r>
          </w:p>
        </w:tc>
        <w:tc>
          <w:tcPr>
            <w:tcW w:w="900" w:type="dxa"/>
            <w:vAlign w:val="center"/>
          </w:tcPr>
          <w:p w14:paraId="1B29EEC1" w14:textId="77777777" w:rsidR="004E7119" w:rsidRDefault="002A3363">
            <w:pPr>
              <w:spacing w:beforeAutospacing="1" w:afterAutospacing="1"/>
              <w:jc w:val="right"/>
            </w:pPr>
            <w:r>
              <w:rPr>
                <w:rFonts w:ascii="Arial" w:hAnsi="Arial"/>
                <w:color w:val="000000"/>
                <w:sz w:val="16"/>
              </w:rPr>
              <w:t>0</w:t>
            </w:r>
          </w:p>
        </w:tc>
        <w:tc>
          <w:tcPr>
            <w:tcW w:w="720" w:type="dxa"/>
            <w:vAlign w:val="center"/>
          </w:tcPr>
          <w:p w14:paraId="32B925A0" w14:textId="77777777" w:rsidR="004E7119" w:rsidRDefault="002A3363">
            <w:pPr>
              <w:spacing w:beforeAutospacing="1" w:afterAutospacing="1"/>
              <w:jc w:val="right"/>
            </w:pPr>
            <w:r>
              <w:rPr>
                <w:rFonts w:ascii="Arial" w:hAnsi="Arial"/>
                <w:color w:val="000000"/>
                <w:sz w:val="16"/>
              </w:rPr>
              <w:t xml:space="preserve"> </w:t>
            </w:r>
          </w:p>
        </w:tc>
        <w:tc>
          <w:tcPr>
            <w:tcW w:w="990" w:type="dxa"/>
            <w:vAlign w:val="center"/>
          </w:tcPr>
          <w:p w14:paraId="03E5435B" w14:textId="77777777" w:rsidR="004E7119" w:rsidRDefault="002A3363">
            <w:pPr>
              <w:spacing w:beforeAutospacing="1" w:afterAutospacing="1"/>
              <w:jc w:val="right"/>
            </w:pPr>
            <w:r>
              <w:rPr>
                <w:rFonts w:ascii="Arial" w:hAnsi="Arial"/>
                <w:color w:val="000000"/>
                <w:sz w:val="16"/>
              </w:rPr>
              <w:t xml:space="preserve"> </w:t>
            </w:r>
          </w:p>
        </w:tc>
        <w:tc>
          <w:tcPr>
            <w:tcW w:w="720" w:type="dxa"/>
            <w:vAlign w:val="center"/>
          </w:tcPr>
          <w:p w14:paraId="0D55BC30" w14:textId="77777777" w:rsidR="004E7119" w:rsidRDefault="002A3363">
            <w:pPr>
              <w:spacing w:beforeAutospacing="1" w:afterAutospacing="1"/>
              <w:jc w:val="right"/>
            </w:pPr>
            <w:r>
              <w:rPr>
                <w:rFonts w:ascii="Arial" w:hAnsi="Arial"/>
                <w:color w:val="000000"/>
                <w:sz w:val="16"/>
              </w:rPr>
              <w:t xml:space="preserve"> </w:t>
            </w:r>
          </w:p>
        </w:tc>
      </w:tr>
      <w:tr w:rsidR="004E7119" w14:paraId="253B68BF" w14:textId="77777777">
        <w:trPr>
          <w:cantSplit/>
        </w:trPr>
        <w:tc>
          <w:tcPr>
            <w:tcW w:w="5490" w:type="dxa"/>
            <w:vAlign w:val="center"/>
          </w:tcPr>
          <w:p w14:paraId="6C34D010" w14:textId="77777777" w:rsidR="004E7119" w:rsidRDefault="002A3363">
            <w:pPr>
              <w:spacing w:beforeAutospacing="1" w:afterAutospacing="1"/>
            </w:pPr>
            <w:r>
              <w:rPr>
                <w:rFonts w:ascii="Arial" w:hAnsi="Arial"/>
                <w:color w:val="25396E"/>
                <w:sz w:val="16"/>
              </w:rPr>
              <w:t>Held one or more job fairs.</w:t>
            </w:r>
          </w:p>
        </w:tc>
        <w:tc>
          <w:tcPr>
            <w:tcW w:w="810" w:type="dxa"/>
            <w:vAlign w:val="center"/>
          </w:tcPr>
          <w:p w14:paraId="411EE6EB" w14:textId="0ECA47D8" w:rsidR="004E7119" w:rsidRDefault="00F21B21">
            <w:pPr>
              <w:spacing w:beforeAutospacing="1" w:afterAutospacing="1"/>
              <w:jc w:val="right"/>
            </w:pPr>
            <w:r>
              <w:t>0</w:t>
            </w:r>
          </w:p>
        </w:tc>
        <w:tc>
          <w:tcPr>
            <w:tcW w:w="900" w:type="dxa"/>
            <w:vAlign w:val="center"/>
          </w:tcPr>
          <w:p w14:paraId="598D9338" w14:textId="5AC80443" w:rsidR="004E7119" w:rsidRDefault="004544E5">
            <w:pPr>
              <w:spacing w:beforeAutospacing="1" w:afterAutospacing="1"/>
              <w:jc w:val="right"/>
            </w:pPr>
            <w:r>
              <w:rPr>
                <w:rFonts w:ascii="Arial" w:hAnsi="Arial"/>
                <w:color w:val="000000"/>
                <w:sz w:val="16"/>
              </w:rPr>
              <w:t>0</w:t>
            </w:r>
          </w:p>
        </w:tc>
        <w:tc>
          <w:tcPr>
            <w:tcW w:w="720" w:type="dxa"/>
            <w:vAlign w:val="center"/>
          </w:tcPr>
          <w:p w14:paraId="2755C0FC" w14:textId="77777777" w:rsidR="004E7119" w:rsidRDefault="002A3363">
            <w:pPr>
              <w:spacing w:beforeAutospacing="1" w:afterAutospacing="1"/>
              <w:jc w:val="right"/>
            </w:pPr>
            <w:r>
              <w:rPr>
                <w:rFonts w:ascii="Arial" w:hAnsi="Arial"/>
                <w:color w:val="000000"/>
                <w:sz w:val="16"/>
              </w:rPr>
              <w:t xml:space="preserve"> </w:t>
            </w:r>
          </w:p>
        </w:tc>
        <w:tc>
          <w:tcPr>
            <w:tcW w:w="990" w:type="dxa"/>
            <w:vAlign w:val="center"/>
          </w:tcPr>
          <w:p w14:paraId="1FD93DC5" w14:textId="77777777" w:rsidR="004E7119" w:rsidRDefault="002A3363">
            <w:pPr>
              <w:spacing w:beforeAutospacing="1" w:afterAutospacing="1"/>
              <w:jc w:val="right"/>
            </w:pPr>
            <w:r>
              <w:rPr>
                <w:rFonts w:ascii="Arial" w:hAnsi="Arial"/>
                <w:color w:val="000000"/>
                <w:sz w:val="16"/>
              </w:rPr>
              <w:t xml:space="preserve"> </w:t>
            </w:r>
          </w:p>
        </w:tc>
        <w:tc>
          <w:tcPr>
            <w:tcW w:w="720" w:type="dxa"/>
            <w:vAlign w:val="center"/>
          </w:tcPr>
          <w:p w14:paraId="6C236736" w14:textId="77777777" w:rsidR="004E7119" w:rsidRDefault="002A3363">
            <w:pPr>
              <w:spacing w:beforeAutospacing="1" w:afterAutospacing="1"/>
              <w:jc w:val="right"/>
            </w:pPr>
            <w:r>
              <w:rPr>
                <w:rFonts w:ascii="Arial" w:hAnsi="Arial"/>
                <w:color w:val="000000"/>
                <w:sz w:val="16"/>
              </w:rPr>
              <w:t xml:space="preserve"> </w:t>
            </w:r>
          </w:p>
        </w:tc>
      </w:tr>
      <w:tr w:rsidR="004E7119" w14:paraId="4F3AF428" w14:textId="77777777">
        <w:trPr>
          <w:cantSplit/>
        </w:trPr>
        <w:tc>
          <w:tcPr>
            <w:tcW w:w="5490" w:type="dxa"/>
            <w:vAlign w:val="center"/>
          </w:tcPr>
          <w:p w14:paraId="732E310A" w14:textId="77777777" w:rsidR="004E7119" w:rsidRDefault="002A3363">
            <w:pPr>
              <w:spacing w:beforeAutospacing="1" w:afterAutospacing="1"/>
            </w:pPr>
            <w:r>
              <w:rPr>
                <w:rFonts w:ascii="Arial" w:hAnsi="Arial"/>
                <w:color w:val="25396E"/>
                <w:sz w:val="16"/>
              </w:rPr>
              <w:t>Provided or connected residents with supportive services that can provide direct services or referrals.</w:t>
            </w:r>
          </w:p>
        </w:tc>
        <w:tc>
          <w:tcPr>
            <w:tcW w:w="810" w:type="dxa"/>
            <w:vAlign w:val="center"/>
          </w:tcPr>
          <w:p w14:paraId="4E1C3BAD" w14:textId="1A1621C6" w:rsidR="004E7119" w:rsidRDefault="00F21B21">
            <w:pPr>
              <w:spacing w:beforeAutospacing="1" w:afterAutospacing="1"/>
              <w:jc w:val="right"/>
            </w:pPr>
            <w:r>
              <w:rPr>
                <w:rFonts w:ascii="Arial" w:hAnsi="Arial"/>
                <w:color w:val="000000"/>
                <w:sz w:val="16"/>
              </w:rPr>
              <w:t>0</w:t>
            </w:r>
          </w:p>
        </w:tc>
        <w:tc>
          <w:tcPr>
            <w:tcW w:w="900" w:type="dxa"/>
            <w:vAlign w:val="center"/>
          </w:tcPr>
          <w:p w14:paraId="2C2A3D2E" w14:textId="48B6F1CD" w:rsidR="004E7119" w:rsidRDefault="004544E5">
            <w:pPr>
              <w:spacing w:beforeAutospacing="1" w:afterAutospacing="1"/>
              <w:jc w:val="right"/>
            </w:pPr>
            <w:r>
              <w:rPr>
                <w:rFonts w:ascii="Arial" w:hAnsi="Arial"/>
                <w:color w:val="000000"/>
                <w:sz w:val="16"/>
              </w:rPr>
              <w:t>0</w:t>
            </w:r>
          </w:p>
        </w:tc>
        <w:tc>
          <w:tcPr>
            <w:tcW w:w="720" w:type="dxa"/>
            <w:vAlign w:val="center"/>
          </w:tcPr>
          <w:p w14:paraId="6B79E5AD" w14:textId="77777777" w:rsidR="004E7119" w:rsidRDefault="002A3363">
            <w:pPr>
              <w:spacing w:beforeAutospacing="1" w:afterAutospacing="1"/>
              <w:jc w:val="right"/>
            </w:pPr>
            <w:r>
              <w:rPr>
                <w:rFonts w:ascii="Arial" w:hAnsi="Arial"/>
                <w:color w:val="000000"/>
                <w:sz w:val="16"/>
              </w:rPr>
              <w:t xml:space="preserve"> </w:t>
            </w:r>
          </w:p>
        </w:tc>
        <w:tc>
          <w:tcPr>
            <w:tcW w:w="990" w:type="dxa"/>
            <w:vAlign w:val="center"/>
          </w:tcPr>
          <w:p w14:paraId="3E6D0121" w14:textId="77777777" w:rsidR="004E7119" w:rsidRDefault="002A3363">
            <w:pPr>
              <w:spacing w:beforeAutospacing="1" w:afterAutospacing="1"/>
              <w:jc w:val="right"/>
            </w:pPr>
            <w:r>
              <w:rPr>
                <w:rFonts w:ascii="Arial" w:hAnsi="Arial"/>
                <w:color w:val="000000"/>
                <w:sz w:val="16"/>
              </w:rPr>
              <w:t xml:space="preserve"> </w:t>
            </w:r>
          </w:p>
        </w:tc>
        <w:tc>
          <w:tcPr>
            <w:tcW w:w="720" w:type="dxa"/>
            <w:vAlign w:val="center"/>
          </w:tcPr>
          <w:p w14:paraId="76D11C63" w14:textId="77777777" w:rsidR="004E7119" w:rsidRDefault="002A3363">
            <w:pPr>
              <w:spacing w:beforeAutospacing="1" w:afterAutospacing="1"/>
              <w:jc w:val="right"/>
            </w:pPr>
            <w:r>
              <w:rPr>
                <w:rFonts w:ascii="Arial" w:hAnsi="Arial"/>
                <w:color w:val="000000"/>
                <w:sz w:val="16"/>
              </w:rPr>
              <w:t xml:space="preserve"> </w:t>
            </w:r>
          </w:p>
        </w:tc>
      </w:tr>
      <w:tr w:rsidR="004E7119" w14:paraId="337F4F50" w14:textId="77777777">
        <w:trPr>
          <w:cantSplit/>
        </w:trPr>
        <w:tc>
          <w:tcPr>
            <w:tcW w:w="5490" w:type="dxa"/>
            <w:vAlign w:val="center"/>
          </w:tcPr>
          <w:p w14:paraId="23B5757B" w14:textId="77777777" w:rsidR="004E7119" w:rsidRDefault="002A3363">
            <w:pPr>
              <w:spacing w:beforeAutospacing="1" w:afterAutospacing="1"/>
            </w:pPr>
            <w:r>
              <w:rPr>
                <w:rFonts w:ascii="Arial" w:hAnsi="Arial"/>
                <w:color w:val="25396E"/>
                <w:sz w:val="16"/>
              </w:rPr>
              <w:t>Provided or connected residents with supportive services that provide one or more of the following: work readiness health screenings, interview clothing, uniforms, test fees, transportation.</w:t>
            </w:r>
          </w:p>
        </w:tc>
        <w:tc>
          <w:tcPr>
            <w:tcW w:w="810" w:type="dxa"/>
            <w:vAlign w:val="center"/>
          </w:tcPr>
          <w:p w14:paraId="0368A616" w14:textId="77777777" w:rsidR="004E7119" w:rsidRDefault="002A3363">
            <w:pPr>
              <w:spacing w:beforeAutospacing="1" w:afterAutospacing="1"/>
              <w:jc w:val="right"/>
            </w:pPr>
            <w:r>
              <w:rPr>
                <w:rFonts w:ascii="Arial" w:hAnsi="Arial"/>
                <w:color w:val="000000"/>
                <w:sz w:val="16"/>
              </w:rPr>
              <w:t>0</w:t>
            </w:r>
          </w:p>
        </w:tc>
        <w:tc>
          <w:tcPr>
            <w:tcW w:w="900" w:type="dxa"/>
            <w:vAlign w:val="center"/>
          </w:tcPr>
          <w:p w14:paraId="60B84885" w14:textId="77777777" w:rsidR="004E7119" w:rsidRDefault="002A3363">
            <w:pPr>
              <w:spacing w:beforeAutospacing="1" w:afterAutospacing="1"/>
              <w:jc w:val="right"/>
            </w:pPr>
            <w:r>
              <w:rPr>
                <w:rFonts w:ascii="Arial" w:hAnsi="Arial"/>
                <w:color w:val="000000"/>
                <w:sz w:val="16"/>
              </w:rPr>
              <w:t>0</w:t>
            </w:r>
          </w:p>
        </w:tc>
        <w:tc>
          <w:tcPr>
            <w:tcW w:w="720" w:type="dxa"/>
            <w:vAlign w:val="center"/>
          </w:tcPr>
          <w:p w14:paraId="18C30ECE" w14:textId="77777777" w:rsidR="004E7119" w:rsidRDefault="002A3363">
            <w:pPr>
              <w:spacing w:beforeAutospacing="1" w:afterAutospacing="1"/>
              <w:jc w:val="right"/>
            </w:pPr>
            <w:r>
              <w:rPr>
                <w:rFonts w:ascii="Arial" w:hAnsi="Arial"/>
                <w:color w:val="000000"/>
                <w:sz w:val="16"/>
              </w:rPr>
              <w:t xml:space="preserve"> </w:t>
            </w:r>
          </w:p>
        </w:tc>
        <w:tc>
          <w:tcPr>
            <w:tcW w:w="990" w:type="dxa"/>
            <w:vAlign w:val="center"/>
          </w:tcPr>
          <w:p w14:paraId="0E1BAB50" w14:textId="77777777" w:rsidR="004E7119" w:rsidRDefault="002A3363">
            <w:pPr>
              <w:spacing w:beforeAutospacing="1" w:afterAutospacing="1"/>
              <w:jc w:val="right"/>
            </w:pPr>
            <w:r>
              <w:rPr>
                <w:rFonts w:ascii="Arial" w:hAnsi="Arial"/>
                <w:color w:val="000000"/>
                <w:sz w:val="16"/>
              </w:rPr>
              <w:t xml:space="preserve"> </w:t>
            </w:r>
          </w:p>
        </w:tc>
        <w:tc>
          <w:tcPr>
            <w:tcW w:w="720" w:type="dxa"/>
            <w:vAlign w:val="center"/>
          </w:tcPr>
          <w:p w14:paraId="5687D18F" w14:textId="77777777" w:rsidR="004E7119" w:rsidRDefault="002A3363">
            <w:pPr>
              <w:spacing w:beforeAutospacing="1" w:afterAutospacing="1"/>
              <w:jc w:val="right"/>
            </w:pPr>
            <w:r>
              <w:rPr>
                <w:rFonts w:ascii="Arial" w:hAnsi="Arial"/>
                <w:color w:val="000000"/>
                <w:sz w:val="16"/>
              </w:rPr>
              <w:t xml:space="preserve"> </w:t>
            </w:r>
          </w:p>
        </w:tc>
      </w:tr>
      <w:tr w:rsidR="004E7119" w14:paraId="476F1FE6" w14:textId="77777777">
        <w:trPr>
          <w:cantSplit/>
        </w:trPr>
        <w:tc>
          <w:tcPr>
            <w:tcW w:w="5490" w:type="dxa"/>
            <w:vAlign w:val="center"/>
          </w:tcPr>
          <w:p w14:paraId="36128D46" w14:textId="77777777" w:rsidR="004E7119" w:rsidRDefault="002A3363">
            <w:pPr>
              <w:spacing w:beforeAutospacing="1" w:afterAutospacing="1"/>
            </w:pPr>
            <w:r>
              <w:rPr>
                <w:rFonts w:ascii="Arial" w:hAnsi="Arial"/>
                <w:color w:val="25396E"/>
                <w:sz w:val="16"/>
              </w:rPr>
              <w:t xml:space="preserve">Assisted residents with finding </w:t>
            </w:r>
            <w:proofErr w:type="gramStart"/>
            <w:r>
              <w:rPr>
                <w:rFonts w:ascii="Arial" w:hAnsi="Arial"/>
                <w:color w:val="25396E"/>
                <w:sz w:val="16"/>
              </w:rPr>
              <w:t>child care</w:t>
            </w:r>
            <w:proofErr w:type="gramEnd"/>
            <w:r>
              <w:rPr>
                <w:rFonts w:ascii="Arial" w:hAnsi="Arial"/>
                <w:color w:val="25396E"/>
                <w:sz w:val="16"/>
              </w:rPr>
              <w:t>.</w:t>
            </w:r>
          </w:p>
        </w:tc>
        <w:tc>
          <w:tcPr>
            <w:tcW w:w="810" w:type="dxa"/>
            <w:vAlign w:val="center"/>
          </w:tcPr>
          <w:p w14:paraId="00C28EC6" w14:textId="77777777" w:rsidR="004E7119" w:rsidRDefault="002A3363">
            <w:pPr>
              <w:spacing w:beforeAutospacing="1" w:afterAutospacing="1"/>
              <w:jc w:val="right"/>
            </w:pPr>
            <w:r>
              <w:rPr>
                <w:rFonts w:ascii="Arial" w:hAnsi="Arial"/>
                <w:color w:val="000000"/>
                <w:sz w:val="16"/>
              </w:rPr>
              <w:t>0</w:t>
            </w:r>
          </w:p>
        </w:tc>
        <w:tc>
          <w:tcPr>
            <w:tcW w:w="900" w:type="dxa"/>
            <w:vAlign w:val="center"/>
          </w:tcPr>
          <w:p w14:paraId="42EBFB53" w14:textId="77777777" w:rsidR="004E7119" w:rsidRDefault="002A3363">
            <w:pPr>
              <w:spacing w:beforeAutospacing="1" w:afterAutospacing="1"/>
              <w:jc w:val="right"/>
            </w:pPr>
            <w:r>
              <w:rPr>
                <w:rFonts w:ascii="Arial" w:hAnsi="Arial"/>
                <w:color w:val="000000"/>
                <w:sz w:val="16"/>
              </w:rPr>
              <w:t>0</w:t>
            </w:r>
          </w:p>
        </w:tc>
        <w:tc>
          <w:tcPr>
            <w:tcW w:w="720" w:type="dxa"/>
            <w:vAlign w:val="center"/>
          </w:tcPr>
          <w:p w14:paraId="72157E3C" w14:textId="77777777" w:rsidR="004E7119" w:rsidRDefault="002A3363">
            <w:pPr>
              <w:spacing w:beforeAutospacing="1" w:afterAutospacing="1"/>
              <w:jc w:val="right"/>
            </w:pPr>
            <w:r>
              <w:rPr>
                <w:rFonts w:ascii="Arial" w:hAnsi="Arial"/>
                <w:color w:val="000000"/>
                <w:sz w:val="16"/>
              </w:rPr>
              <w:t xml:space="preserve"> </w:t>
            </w:r>
          </w:p>
        </w:tc>
        <w:tc>
          <w:tcPr>
            <w:tcW w:w="990" w:type="dxa"/>
            <w:vAlign w:val="center"/>
          </w:tcPr>
          <w:p w14:paraId="3D98BC5B" w14:textId="77777777" w:rsidR="004E7119" w:rsidRDefault="002A3363">
            <w:pPr>
              <w:spacing w:beforeAutospacing="1" w:afterAutospacing="1"/>
              <w:jc w:val="right"/>
            </w:pPr>
            <w:r>
              <w:rPr>
                <w:rFonts w:ascii="Arial" w:hAnsi="Arial"/>
                <w:color w:val="000000"/>
                <w:sz w:val="16"/>
              </w:rPr>
              <w:t xml:space="preserve"> </w:t>
            </w:r>
          </w:p>
        </w:tc>
        <w:tc>
          <w:tcPr>
            <w:tcW w:w="720" w:type="dxa"/>
            <w:vAlign w:val="center"/>
          </w:tcPr>
          <w:p w14:paraId="277ED2F1" w14:textId="77777777" w:rsidR="004E7119" w:rsidRDefault="002A3363">
            <w:pPr>
              <w:spacing w:beforeAutospacing="1" w:afterAutospacing="1"/>
              <w:jc w:val="right"/>
            </w:pPr>
            <w:r>
              <w:rPr>
                <w:rFonts w:ascii="Arial" w:hAnsi="Arial"/>
                <w:color w:val="000000"/>
                <w:sz w:val="16"/>
              </w:rPr>
              <w:t xml:space="preserve"> </w:t>
            </w:r>
          </w:p>
        </w:tc>
      </w:tr>
      <w:tr w:rsidR="004E7119" w14:paraId="30DF75FC" w14:textId="77777777">
        <w:trPr>
          <w:cantSplit/>
        </w:trPr>
        <w:tc>
          <w:tcPr>
            <w:tcW w:w="5490" w:type="dxa"/>
            <w:vAlign w:val="center"/>
          </w:tcPr>
          <w:p w14:paraId="0D2784D0" w14:textId="77777777" w:rsidR="004E7119" w:rsidRDefault="002A3363">
            <w:pPr>
              <w:spacing w:beforeAutospacing="1" w:afterAutospacing="1"/>
            </w:pPr>
            <w:r>
              <w:rPr>
                <w:rFonts w:ascii="Arial" w:hAnsi="Arial"/>
                <w:color w:val="25396E"/>
                <w:sz w:val="16"/>
              </w:rPr>
              <w:t>Assisted residents to apply for, or attend community college or a four year educational institution.</w:t>
            </w:r>
          </w:p>
        </w:tc>
        <w:tc>
          <w:tcPr>
            <w:tcW w:w="810" w:type="dxa"/>
            <w:vAlign w:val="center"/>
          </w:tcPr>
          <w:p w14:paraId="401ED343" w14:textId="77777777" w:rsidR="004E7119" w:rsidRDefault="002A3363">
            <w:pPr>
              <w:spacing w:beforeAutospacing="1" w:afterAutospacing="1"/>
              <w:jc w:val="right"/>
            </w:pPr>
            <w:r>
              <w:rPr>
                <w:rFonts w:ascii="Arial" w:hAnsi="Arial"/>
                <w:color w:val="000000"/>
                <w:sz w:val="16"/>
              </w:rPr>
              <w:t>0</w:t>
            </w:r>
          </w:p>
        </w:tc>
        <w:tc>
          <w:tcPr>
            <w:tcW w:w="900" w:type="dxa"/>
            <w:vAlign w:val="center"/>
          </w:tcPr>
          <w:p w14:paraId="799B97EA" w14:textId="77777777" w:rsidR="004E7119" w:rsidRDefault="002A3363">
            <w:pPr>
              <w:spacing w:beforeAutospacing="1" w:afterAutospacing="1"/>
              <w:jc w:val="right"/>
            </w:pPr>
            <w:r>
              <w:rPr>
                <w:rFonts w:ascii="Arial" w:hAnsi="Arial"/>
                <w:color w:val="000000"/>
                <w:sz w:val="16"/>
              </w:rPr>
              <w:t>0</w:t>
            </w:r>
          </w:p>
        </w:tc>
        <w:tc>
          <w:tcPr>
            <w:tcW w:w="720" w:type="dxa"/>
            <w:vAlign w:val="center"/>
          </w:tcPr>
          <w:p w14:paraId="611FDF65" w14:textId="77777777" w:rsidR="004E7119" w:rsidRDefault="002A3363">
            <w:pPr>
              <w:spacing w:beforeAutospacing="1" w:afterAutospacing="1"/>
              <w:jc w:val="right"/>
            </w:pPr>
            <w:r>
              <w:rPr>
                <w:rFonts w:ascii="Arial" w:hAnsi="Arial"/>
                <w:color w:val="000000"/>
                <w:sz w:val="16"/>
              </w:rPr>
              <w:t xml:space="preserve"> </w:t>
            </w:r>
          </w:p>
        </w:tc>
        <w:tc>
          <w:tcPr>
            <w:tcW w:w="990" w:type="dxa"/>
            <w:vAlign w:val="center"/>
          </w:tcPr>
          <w:p w14:paraId="1ECA1B68" w14:textId="77777777" w:rsidR="004E7119" w:rsidRDefault="002A3363">
            <w:pPr>
              <w:spacing w:beforeAutospacing="1" w:afterAutospacing="1"/>
              <w:jc w:val="right"/>
            </w:pPr>
            <w:r>
              <w:rPr>
                <w:rFonts w:ascii="Arial" w:hAnsi="Arial"/>
                <w:color w:val="000000"/>
                <w:sz w:val="16"/>
              </w:rPr>
              <w:t xml:space="preserve"> </w:t>
            </w:r>
          </w:p>
        </w:tc>
        <w:tc>
          <w:tcPr>
            <w:tcW w:w="720" w:type="dxa"/>
            <w:vAlign w:val="center"/>
          </w:tcPr>
          <w:p w14:paraId="4A8A25F8" w14:textId="77777777" w:rsidR="004E7119" w:rsidRDefault="002A3363">
            <w:pPr>
              <w:spacing w:beforeAutospacing="1" w:afterAutospacing="1"/>
              <w:jc w:val="right"/>
            </w:pPr>
            <w:r>
              <w:rPr>
                <w:rFonts w:ascii="Arial" w:hAnsi="Arial"/>
                <w:color w:val="000000"/>
                <w:sz w:val="16"/>
              </w:rPr>
              <w:t xml:space="preserve"> </w:t>
            </w:r>
          </w:p>
        </w:tc>
      </w:tr>
      <w:tr w:rsidR="004E7119" w14:paraId="2AB5FAF0" w14:textId="77777777">
        <w:trPr>
          <w:cantSplit/>
        </w:trPr>
        <w:tc>
          <w:tcPr>
            <w:tcW w:w="5490" w:type="dxa"/>
            <w:vAlign w:val="center"/>
          </w:tcPr>
          <w:p w14:paraId="07BE04B0" w14:textId="77777777" w:rsidR="004E7119" w:rsidRDefault="002A3363">
            <w:pPr>
              <w:spacing w:beforeAutospacing="1" w:afterAutospacing="1"/>
            </w:pPr>
            <w:r>
              <w:rPr>
                <w:rFonts w:ascii="Arial" w:hAnsi="Arial"/>
                <w:color w:val="25396E"/>
                <w:sz w:val="16"/>
              </w:rPr>
              <w:t>Assisted residents to apply for, or attend vocational/technical training.</w:t>
            </w:r>
          </w:p>
        </w:tc>
        <w:tc>
          <w:tcPr>
            <w:tcW w:w="810" w:type="dxa"/>
            <w:vAlign w:val="center"/>
          </w:tcPr>
          <w:p w14:paraId="1FC699FF" w14:textId="77777777" w:rsidR="004E7119" w:rsidRDefault="002A3363">
            <w:pPr>
              <w:spacing w:beforeAutospacing="1" w:afterAutospacing="1"/>
              <w:jc w:val="right"/>
            </w:pPr>
            <w:r>
              <w:rPr>
                <w:rFonts w:ascii="Arial" w:hAnsi="Arial"/>
                <w:color w:val="000000"/>
                <w:sz w:val="16"/>
              </w:rPr>
              <w:t>0</w:t>
            </w:r>
          </w:p>
        </w:tc>
        <w:tc>
          <w:tcPr>
            <w:tcW w:w="900" w:type="dxa"/>
            <w:vAlign w:val="center"/>
          </w:tcPr>
          <w:p w14:paraId="210E9F1C" w14:textId="77777777" w:rsidR="004E7119" w:rsidRDefault="002A3363">
            <w:pPr>
              <w:spacing w:beforeAutospacing="1" w:afterAutospacing="1"/>
              <w:jc w:val="right"/>
            </w:pPr>
            <w:r>
              <w:rPr>
                <w:rFonts w:ascii="Arial" w:hAnsi="Arial"/>
                <w:color w:val="000000"/>
                <w:sz w:val="16"/>
              </w:rPr>
              <w:t>0</w:t>
            </w:r>
          </w:p>
        </w:tc>
        <w:tc>
          <w:tcPr>
            <w:tcW w:w="720" w:type="dxa"/>
            <w:vAlign w:val="center"/>
          </w:tcPr>
          <w:p w14:paraId="48FAB5FC" w14:textId="77777777" w:rsidR="004E7119" w:rsidRDefault="002A3363">
            <w:pPr>
              <w:spacing w:beforeAutospacing="1" w:afterAutospacing="1"/>
              <w:jc w:val="right"/>
            </w:pPr>
            <w:r>
              <w:rPr>
                <w:rFonts w:ascii="Arial" w:hAnsi="Arial"/>
                <w:color w:val="000000"/>
                <w:sz w:val="16"/>
              </w:rPr>
              <w:t xml:space="preserve"> </w:t>
            </w:r>
          </w:p>
        </w:tc>
        <w:tc>
          <w:tcPr>
            <w:tcW w:w="990" w:type="dxa"/>
            <w:vAlign w:val="center"/>
          </w:tcPr>
          <w:p w14:paraId="552462F5" w14:textId="77777777" w:rsidR="004E7119" w:rsidRDefault="002A3363">
            <w:pPr>
              <w:spacing w:beforeAutospacing="1" w:afterAutospacing="1"/>
              <w:jc w:val="right"/>
            </w:pPr>
            <w:r>
              <w:rPr>
                <w:rFonts w:ascii="Arial" w:hAnsi="Arial"/>
                <w:color w:val="000000"/>
                <w:sz w:val="16"/>
              </w:rPr>
              <w:t xml:space="preserve"> </w:t>
            </w:r>
          </w:p>
        </w:tc>
        <w:tc>
          <w:tcPr>
            <w:tcW w:w="720" w:type="dxa"/>
            <w:vAlign w:val="center"/>
          </w:tcPr>
          <w:p w14:paraId="6FF525BF" w14:textId="77777777" w:rsidR="004E7119" w:rsidRDefault="002A3363">
            <w:pPr>
              <w:spacing w:beforeAutospacing="1" w:afterAutospacing="1"/>
              <w:jc w:val="right"/>
            </w:pPr>
            <w:r>
              <w:rPr>
                <w:rFonts w:ascii="Arial" w:hAnsi="Arial"/>
                <w:color w:val="000000"/>
                <w:sz w:val="16"/>
              </w:rPr>
              <w:t xml:space="preserve"> </w:t>
            </w:r>
          </w:p>
        </w:tc>
      </w:tr>
      <w:tr w:rsidR="004E7119" w14:paraId="3DF56C53" w14:textId="77777777">
        <w:trPr>
          <w:cantSplit/>
        </w:trPr>
        <w:tc>
          <w:tcPr>
            <w:tcW w:w="5490" w:type="dxa"/>
            <w:vAlign w:val="center"/>
          </w:tcPr>
          <w:p w14:paraId="2268880E" w14:textId="77777777" w:rsidR="004E7119" w:rsidRDefault="002A3363">
            <w:pPr>
              <w:spacing w:beforeAutospacing="1" w:afterAutospacing="1"/>
            </w:pPr>
            <w:r>
              <w:rPr>
                <w:rFonts w:ascii="Arial" w:hAnsi="Arial"/>
                <w:color w:val="25396E"/>
                <w:sz w:val="16"/>
              </w:rPr>
              <w:t>Assisted residents to obtain financial literacy training and/or coaching.</w:t>
            </w:r>
          </w:p>
        </w:tc>
        <w:tc>
          <w:tcPr>
            <w:tcW w:w="810" w:type="dxa"/>
            <w:vAlign w:val="center"/>
          </w:tcPr>
          <w:p w14:paraId="1F3843C6" w14:textId="77777777" w:rsidR="004E7119" w:rsidRDefault="002A3363">
            <w:pPr>
              <w:spacing w:beforeAutospacing="1" w:afterAutospacing="1"/>
              <w:jc w:val="right"/>
            </w:pPr>
            <w:r>
              <w:rPr>
                <w:rFonts w:ascii="Arial" w:hAnsi="Arial"/>
                <w:color w:val="000000"/>
                <w:sz w:val="16"/>
              </w:rPr>
              <w:t>0</w:t>
            </w:r>
          </w:p>
        </w:tc>
        <w:tc>
          <w:tcPr>
            <w:tcW w:w="900" w:type="dxa"/>
            <w:vAlign w:val="center"/>
          </w:tcPr>
          <w:p w14:paraId="4C8CCFBB" w14:textId="77777777" w:rsidR="004E7119" w:rsidRDefault="002A3363">
            <w:pPr>
              <w:spacing w:beforeAutospacing="1" w:afterAutospacing="1"/>
              <w:jc w:val="right"/>
            </w:pPr>
            <w:r>
              <w:rPr>
                <w:rFonts w:ascii="Arial" w:hAnsi="Arial"/>
                <w:color w:val="000000"/>
                <w:sz w:val="16"/>
              </w:rPr>
              <w:t>0</w:t>
            </w:r>
          </w:p>
        </w:tc>
        <w:tc>
          <w:tcPr>
            <w:tcW w:w="720" w:type="dxa"/>
            <w:vAlign w:val="center"/>
          </w:tcPr>
          <w:p w14:paraId="510A19BD" w14:textId="77777777" w:rsidR="004E7119" w:rsidRDefault="002A3363">
            <w:pPr>
              <w:spacing w:beforeAutospacing="1" w:afterAutospacing="1"/>
              <w:jc w:val="right"/>
            </w:pPr>
            <w:r>
              <w:rPr>
                <w:rFonts w:ascii="Arial" w:hAnsi="Arial"/>
                <w:color w:val="000000"/>
                <w:sz w:val="16"/>
              </w:rPr>
              <w:t xml:space="preserve"> </w:t>
            </w:r>
          </w:p>
        </w:tc>
        <w:tc>
          <w:tcPr>
            <w:tcW w:w="990" w:type="dxa"/>
            <w:vAlign w:val="center"/>
          </w:tcPr>
          <w:p w14:paraId="0B8A5B94" w14:textId="77777777" w:rsidR="004E7119" w:rsidRDefault="002A3363">
            <w:pPr>
              <w:spacing w:beforeAutospacing="1" w:afterAutospacing="1"/>
              <w:jc w:val="right"/>
            </w:pPr>
            <w:r>
              <w:rPr>
                <w:rFonts w:ascii="Arial" w:hAnsi="Arial"/>
                <w:color w:val="000000"/>
                <w:sz w:val="16"/>
              </w:rPr>
              <w:t xml:space="preserve"> </w:t>
            </w:r>
          </w:p>
        </w:tc>
        <w:tc>
          <w:tcPr>
            <w:tcW w:w="720" w:type="dxa"/>
            <w:vAlign w:val="center"/>
          </w:tcPr>
          <w:p w14:paraId="55E7F02A" w14:textId="77777777" w:rsidR="004E7119" w:rsidRDefault="002A3363">
            <w:pPr>
              <w:spacing w:beforeAutospacing="1" w:afterAutospacing="1"/>
              <w:jc w:val="right"/>
            </w:pPr>
            <w:r>
              <w:rPr>
                <w:rFonts w:ascii="Arial" w:hAnsi="Arial"/>
                <w:color w:val="000000"/>
                <w:sz w:val="16"/>
              </w:rPr>
              <w:t xml:space="preserve"> </w:t>
            </w:r>
          </w:p>
        </w:tc>
      </w:tr>
      <w:tr w:rsidR="004E7119" w14:paraId="16CE459F" w14:textId="77777777">
        <w:trPr>
          <w:cantSplit/>
        </w:trPr>
        <w:tc>
          <w:tcPr>
            <w:tcW w:w="5490" w:type="dxa"/>
            <w:vAlign w:val="center"/>
          </w:tcPr>
          <w:p w14:paraId="0B4989AB" w14:textId="77777777" w:rsidR="004E7119" w:rsidRDefault="002A3363">
            <w:pPr>
              <w:spacing w:beforeAutospacing="1" w:afterAutospacing="1"/>
            </w:pPr>
            <w:r>
              <w:rPr>
                <w:rFonts w:ascii="Arial" w:hAnsi="Arial"/>
                <w:color w:val="25396E"/>
                <w:sz w:val="16"/>
              </w:rPr>
              <w:t>Bonding assistance, guaranties, or other efforts to support viable bids from Section 3 business concerns.</w:t>
            </w:r>
          </w:p>
        </w:tc>
        <w:tc>
          <w:tcPr>
            <w:tcW w:w="810" w:type="dxa"/>
            <w:vAlign w:val="center"/>
          </w:tcPr>
          <w:p w14:paraId="1F330C9C" w14:textId="77777777" w:rsidR="004E7119" w:rsidRDefault="002A3363">
            <w:pPr>
              <w:spacing w:beforeAutospacing="1" w:afterAutospacing="1"/>
              <w:jc w:val="right"/>
            </w:pPr>
            <w:r>
              <w:rPr>
                <w:rFonts w:ascii="Arial" w:hAnsi="Arial"/>
                <w:color w:val="000000"/>
                <w:sz w:val="16"/>
              </w:rPr>
              <w:t>0</w:t>
            </w:r>
          </w:p>
        </w:tc>
        <w:tc>
          <w:tcPr>
            <w:tcW w:w="900" w:type="dxa"/>
            <w:vAlign w:val="center"/>
          </w:tcPr>
          <w:p w14:paraId="04778BF3" w14:textId="77777777" w:rsidR="004E7119" w:rsidRDefault="002A3363">
            <w:pPr>
              <w:spacing w:beforeAutospacing="1" w:afterAutospacing="1"/>
              <w:jc w:val="right"/>
            </w:pPr>
            <w:r>
              <w:rPr>
                <w:rFonts w:ascii="Arial" w:hAnsi="Arial"/>
                <w:color w:val="000000"/>
                <w:sz w:val="16"/>
              </w:rPr>
              <w:t>0</w:t>
            </w:r>
          </w:p>
        </w:tc>
        <w:tc>
          <w:tcPr>
            <w:tcW w:w="720" w:type="dxa"/>
            <w:vAlign w:val="center"/>
          </w:tcPr>
          <w:p w14:paraId="7940A37E" w14:textId="77777777" w:rsidR="004E7119" w:rsidRDefault="002A3363">
            <w:pPr>
              <w:spacing w:beforeAutospacing="1" w:afterAutospacing="1"/>
              <w:jc w:val="right"/>
            </w:pPr>
            <w:r>
              <w:rPr>
                <w:rFonts w:ascii="Arial" w:hAnsi="Arial"/>
                <w:color w:val="000000"/>
                <w:sz w:val="16"/>
              </w:rPr>
              <w:t xml:space="preserve"> </w:t>
            </w:r>
          </w:p>
        </w:tc>
        <w:tc>
          <w:tcPr>
            <w:tcW w:w="990" w:type="dxa"/>
            <w:vAlign w:val="center"/>
          </w:tcPr>
          <w:p w14:paraId="3FCD1E25" w14:textId="77777777" w:rsidR="004E7119" w:rsidRDefault="002A3363">
            <w:pPr>
              <w:spacing w:beforeAutospacing="1" w:afterAutospacing="1"/>
              <w:jc w:val="right"/>
            </w:pPr>
            <w:r>
              <w:rPr>
                <w:rFonts w:ascii="Arial" w:hAnsi="Arial"/>
                <w:color w:val="000000"/>
                <w:sz w:val="16"/>
              </w:rPr>
              <w:t xml:space="preserve"> </w:t>
            </w:r>
          </w:p>
        </w:tc>
        <w:tc>
          <w:tcPr>
            <w:tcW w:w="720" w:type="dxa"/>
            <w:vAlign w:val="center"/>
          </w:tcPr>
          <w:p w14:paraId="3B0A5792" w14:textId="77777777" w:rsidR="004E7119" w:rsidRDefault="002A3363">
            <w:pPr>
              <w:spacing w:beforeAutospacing="1" w:afterAutospacing="1"/>
              <w:jc w:val="right"/>
            </w:pPr>
            <w:r>
              <w:rPr>
                <w:rFonts w:ascii="Arial" w:hAnsi="Arial"/>
                <w:color w:val="000000"/>
                <w:sz w:val="16"/>
              </w:rPr>
              <w:t xml:space="preserve"> </w:t>
            </w:r>
          </w:p>
        </w:tc>
      </w:tr>
      <w:tr w:rsidR="004E7119" w14:paraId="331841CD" w14:textId="77777777">
        <w:trPr>
          <w:cantSplit/>
        </w:trPr>
        <w:tc>
          <w:tcPr>
            <w:tcW w:w="5490" w:type="dxa"/>
            <w:vAlign w:val="center"/>
          </w:tcPr>
          <w:p w14:paraId="0251A67A" w14:textId="77777777" w:rsidR="004E7119" w:rsidRDefault="002A3363">
            <w:pPr>
              <w:spacing w:beforeAutospacing="1" w:afterAutospacing="1"/>
            </w:pPr>
            <w:r>
              <w:rPr>
                <w:rFonts w:ascii="Arial" w:hAnsi="Arial"/>
                <w:color w:val="25396E"/>
                <w:sz w:val="16"/>
              </w:rPr>
              <w:t>Provided or connected residents with training on computer use or online technologies.</w:t>
            </w:r>
          </w:p>
        </w:tc>
        <w:tc>
          <w:tcPr>
            <w:tcW w:w="810" w:type="dxa"/>
            <w:vAlign w:val="center"/>
          </w:tcPr>
          <w:p w14:paraId="116C5543" w14:textId="77777777" w:rsidR="004E7119" w:rsidRDefault="002A3363">
            <w:pPr>
              <w:spacing w:beforeAutospacing="1" w:afterAutospacing="1"/>
              <w:jc w:val="right"/>
            </w:pPr>
            <w:r>
              <w:rPr>
                <w:rFonts w:ascii="Arial" w:hAnsi="Arial"/>
                <w:color w:val="000000"/>
                <w:sz w:val="16"/>
              </w:rPr>
              <w:t>0</w:t>
            </w:r>
          </w:p>
        </w:tc>
        <w:tc>
          <w:tcPr>
            <w:tcW w:w="900" w:type="dxa"/>
            <w:vAlign w:val="center"/>
          </w:tcPr>
          <w:p w14:paraId="040FB500" w14:textId="77777777" w:rsidR="004E7119" w:rsidRDefault="002A3363">
            <w:pPr>
              <w:spacing w:beforeAutospacing="1" w:afterAutospacing="1"/>
              <w:jc w:val="right"/>
            </w:pPr>
            <w:r>
              <w:rPr>
                <w:rFonts w:ascii="Arial" w:hAnsi="Arial"/>
                <w:color w:val="000000"/>
                <w:sz w:val="16"/>
              </w:rPr>
              <w:t>0</w:t>
            </w:r>
          </w:p>
        </w:tc>
        <w:tc>
          <w:tcPr>
            <w:tcW w:w="720" w:type="dxa"/>
            <w:vAlign w:val="center"/>
          </w:tcPr>
          <w:p w14:paraId="699F7A51" w14:textId="77777777" w:rsidR="004E7119" w:rsidRDefault="002A3363">
            <w:pPr>
              <w:spacing w:beforeAutospacing="1" w:afterAutospacing="1"/>
              <w:jc w:val="right"/>
            </w:pPr>
            <w:r>
              <w:rPr>
                <w:rFonts w:ascii="Arial" w:hAnsi="Arial"/>
                <w:color w:val="000000"/>
                <w:sz w:val="16"/>
              </w:rPr>
              <w:t xml:space="preserve"> </w:t>
            </w:r>
          </w:p>
        </w:tc>
        <w:tc>
          <w:tcPr>
            <w:tcW w:w="990" w:type="dxa"/>
            <w:vAlign w:val="center"/>
          </w:tcPr>
          <w:p w14:paraId="262473E8" w14:textId="77777777" w:rsidR="004E7119" w:rsidRDefault="002A3363">
            <w:pPr>
              <w:spacing w:beforeAutospacing="1" w:afterAutospacing="1"/>
              <w:jc w:val="right"/>
            </w:pPr>
            <w:r>
              <w:rPr>
                <w:rFonts w:ascii="Arial" w:hAnsi="Arial"/>
                <w:color w:val="000000"/>
                <w:sz w:val="16"/>
              </w:rPr>
              <w:t xml:space="preserve"> </w:t>
            </w:r>
          </w:p>
        </w:tc>
        <w:tc>
          <w:tcPr>
            <w:tcW w:w="720" w:type="dxa"/>
            <w:vAlign w:val="center"/>
          </w:tcPr>
          <w:p w14:paraId="5F7F5622" w14:textId="77777777" w:rsidR="004E7119" w:rsidRDefault="002A3363">
            <w:pPr>
              <w:spacing w:beforeAutospacing="1" w:afterAutospacing="1"/>
              <w:jc w:val="right"/>
            </w:pPr>
            <w:r>
              <w:rPr>
                <w:rFonts w:ascii="Arial" w:hAnsi="Arial"/>
                <w:color w:val="000000"/>
                <w:sz w:val="16"/>
              </w:rPr>
              <w:t xml:space="preserve"> </w:t>
            </w:r>
          </w:p>
        </w:tc>
      </w:tr>
      <w:tr w:rsidR="004E7119" w14:paraId="5DFB4D8E" w14:textId="77777777">
        <w:trPr>
          <w:cantSplit/>
        </w:trPr>
        <w:tc>
          <w:tcPr>
            <w:tcW w:w="5490" w:type="dxa"/>
            <w:vAlign w:val="center"/>
          </w:tcPr>
          <w:p w14:paraId="44A11B15" w14:textId="77777777" w:rsidR="004E7119" w:rsidRDefault="002A3363">
            <w:pPr>
              <w:spacing w:beforeAutospacing="1" w:afterAutospacing="1"/>
            </w:pPr>
            <w:r>
              <w:rPr>
                <w:rFonts w:ascii="Arial" w:hAnsi="Arial"/>
                <w:color w:val="25396E"/>
                <w:sz w:val="16"/>
              </w:rPr>
              <w:t>Promoting the use of a business registry designed to create opportunities for disadvantaged and small businesses.</w:t>
            </w:r>
          </w:p>
        </w:tc>
        <w:tc>
          <w:tcPr>
            <w:tcW w:w="810" w:type="dxa"/>
            <w:vAlign w:val="center"/>
          </w:tcPr>
          <w:p w14:paraId="7398C4A6" w14:textId="77777777" w:rsidR="004E7119" w:rsidRDefault="002A3363">
            <w:pPr>
              <w:spacing w:beforeAutospacing="1" w:afterAutospacing="1"/>
              <w:jc w:val="right"/>
            </w:pPr>
            <w:r>
              <w:rPr>
                <w:rFonts w:ascii="Arial" w:hAnsi="Arial"/>
                <w:color w:val="000000"/>
                <w:sz w:val="16"/>
              </w:rPr>
              <w:t>0</w:t>
            </w:r>
          </w:p>
        </w:tc>
        <w:tc>
          <w:tcPr>
            <w:tcW w:w="900" w:type="dxa"/>
            <w:vAlign w:val="center"/>
          </w:tcPr>
          <w:p w14:paraId="46BD1435" w14:textId="77777777" w:rsidR="004E7119" w:rsidRDefault="002A3363">
            <w:pPr>
              <w:spacing w:beforeAutospacing="1" w:afterAutospacing="1"/>
              <w:jc w:val="right"/>
            </w:pPr>
            <w:r>
              <w:rPr>
                <w:rFonts w:ascii="Arial" w:hAnsi="Arial"/>
                <w:color w:val="000000"/>
                <w:sz w:val="16"/>
              </w:rPr>
              <w:t>0</w:t>
            </w:r>
          </w:p>
        </w:tc>
        <w:tc>
          <w:tcPr>
            <w:tcW w:w="720" w:type="dxa"/>
            <w:vAlign w:val="center"/>
          </w:tcPr>
          <w:p w14:paraId="5EBD117D" w14:textId="77777777" w:rsidR="004E7119" w:rsidRDefault="002A3363">
            <w:pPr>
              <w:spacing w:beforeAutospacing="1" w:afterAutospacing="1"/>
              <w:jc w:val="right"/>
            </w:pPr>
            <w:r>
              <w:rPr>
                <w:rFonts w:ascii="Arial" w:hAnsi="Arial"/>
                <w:color w:val="000000"/>
                <w:sz w:val="16"/>
              </w:rPr>
              <w:t xml:space="preserve"> </w:t>
            </w:r>
          </w:p>
        </w:tc>
        <w:tc>
          <w:tcPr>
            <w:tcW w:w="990" w:type="dxa"/>
            <w:vAlign w:val="center"/>
          </w:tcPr>
          <w:p w14:paraId="1654D941" w14:textId="77777777" w:rsidR="004E7119" w:rsidRDefault="002A3363">
            <w:pPr>
              <w:spacing w:beforeAutospacing="1" w:afterAutospacing="1"/>
              <w:jc w:val="right"/>
            </w:pPr>
            <w:r>
              <w:rPr>
                <w:rFonts w:ascii="Arial" w:hAnsi="Arial"/>
                <w:color w:val="000000"/>
                <w:sz w:val="16"/>
              </w:rPr>
              <w:t xml:space="preserve"> </w:t>
            </w:r>
          </w:p>
        </w:tc>
        <w:tc>
          <w:tcPr>
            <w:tcW w:w="720" w:type="dxa"/>
            <w:vAlign w:val="center"/>
          </w:tcPr>
          <w:p w14:paraId="501F5B38" w14:textId="77777777" w:rsidR="004E7119" w:rsidRDefault="002A3363">
            <w:pPr>
              <w:spacing w:beforeAutospacing="1" w:afterAutospacing="1"/>
              <w:jc w:val="right"/>
            </w:pPr>
            <w:r>
              <w:rPr>
                <w:rFonts w:ascii="Arial" w:hAnsi="Arial"/>
                <w:color w:val="000000"/>
                <w:sz w:val="16"/>
              </w:rPr>
              <w:t xml:space="preserve"> </w:t>
            </w:r>
          </w:p>
        </w:tc>
      </w:tr>
      <w:tr w:rsidR="004E7119" w14:paraId="322D63E1" w14:textId="77777777">
        <w:trPr>
          <w:cantSplit/>
        </w:trPr>
        <w:tc>
          <w:tcPr>
            <w:tcW w:w="5490" w:type="dxa"/>
            <w:vAlign w:val="center"/>
          </w:tcPr>
          <w:p w14:paraId="0CDB351A" w14:textId="77777777" w:rsidR="004E7119" w:rsidRDefault="002A3363">
            <w:pPr>
              <w:spacing w:beforeAutospacing="1" w:afterAutospacing="1"/>
            </w:pPr>
            <w:r>
              <w:rPr>
                <w:rFonts w:ascii="Arial" w:hAnsi="Arial"/>
                <w:color w:val="25396E"/>
                <w:sz w:val="16"/>
              </w:rPr>
              <w:t>Outreach, engagement, or referrals with the state one-stop system, as designed in Section 121(e)(2) of the Workforce Innovation and Opportunity Act.</w:t>
            </w:r>
          </w:p>
        </w:tc>
        <w:tc>
          <w:tcPr>
            <w:tcW w:w="810" w:type="dxa"/>
            <w:vAlign w:val="center"/>
          </w:tcPr>
          <w:p w14:paraId="5090EB3B" w14:textId="77777777" w:rsidR="004E7119" w:rsidRDefault="002A3363">
            <w:pPr>
              <w:spacing w:beforeAutospacing="1" w:afterAutospacing="1"/>
              <w:jc w:val="right"/>
            </w:pPr>
            <w:r>
              <w:rPr>
                <w:rFonts w:ascii="Arial" w:hAnsi="Arial"/>
                <w:color w:val="000000"/>
                <w:sz w:val="16"/>
              </w:rPr>
              <w:t>0</w:t>
            </w:r>
          </w:p>
        </w:tc>
        <w:tc>
          <w:tcPr>
            <w:tcW w:w="900" w:type="dxa"/>
            <w:vAlign w:val="center"/>
          </w:tcPr>
          <w:p w14:paraId="629D0688" w14:textId="77777777" w:rsidR="004E7119" w:rsidRDefault="002A3363">
            <w:pPr>
              <w:spacing w:beforeAutospacing="1" w:afterAutospacing="1"/>
              <w:jc w:val="right"/>
            </w:pPr>
            <w:r>
              <w:rPr>
                <w:rFonts w:ascii="Arial" w:hAnsi="Arial"/>
                <w:color w:val="000000"/>
                <w:sz w:val="16"/>
              </w:rPr>
              <w:t>0</w:t>
            </w:r>
          </w:p>
        </w:tc>
        <w:tc>
          <w:tcPr>
            <w:tcW w:w="720" w:type="dxa"/>
            <w:vAlign w:val="center"/>
          </w:tcPr>
          <w:p w14:paraId="3D106FEA" w14:textId="77777777" w:rsidR="004E7119" w:rsidRDefault="002A3363">
            <w:pPr>
              <w:spacing w:beforeAutospacing="1" w:afterAutospacing="1"/>
              <w:jc w:val="right"/>
            </w:pPr>
            <w:r>
              <w:rPr>
                <w:rFonts w:ascii="Arial" w:hAnsi="Arial"/>
                <w:color w:val="000000"/>
                <w:sz w:val="16"/>
              </w:rPr>
              <w:t xml:space="preserve"> </w:t>
            </w:r>
          </w:p>
        </w:tc>
        <w:tc>
          <w:tcPr>
            <w:tcW w:w="990" w:type="dxa"/>
            <w:vAlign w:val="center"/>
          </w:tcPr>
          <w:p w14:paraId="3AA23C0D" w14:textId="77777777" w:rsidR="004E7119" w:rsidRDefault="002A3363">
            <w:pPr>
              <w:spacing w:beforeAutospacing="1" w:afterAutospacing="1"/>
              <w:jc w:val="right"/>
            </w:pPr>
            <w:r>
              <w:rPr>
                <w:rFonts w:ascii="Arial" w:hAnsi="Arial"/>
                <w:color w:val="000000"/>
                <w:sz w:val="16"/>
              </w:rPr>
              <w:t xml:space="preserve"> </w:t>
            </w:r>
          </w:p>
        </w:tc>
        <w:tc>
          <w:tcPr>
            <w:tcW w:w="720" w:type="dxa"/>
            <w:vAlign w:val="center"/>
          </w:tcPr>
          <w:p w14:paraId="7CE6829B" w14:textId="77777777" w:rsidR="004E7119" w:rsidRDefault="002A3363">
            <w:pPr>
              <w:spacing w:beforeAutospacing="1" w:afterAutospacing="1"/>
              <w:jc w:val="right"/>
            </w:pPr>
            <w:r>
              <w:rPr>
                <w:rFonts w:ascii="Arial" w:hAnsi="Arial"/>
                <w:color w:val="000000"/>
                <w:sz w:val="16"/>
              </w:rPr>
              <w:t xml:space="preserve"> </w:t>
            </w:r>
          </w:p>
        </w:tc>
      </w:tr>
      <w:tr w:rsidR="004E7119" w14:paraId="1E9BF461" w14:textId="77777777">
        <w:trPr>
          <w:cantSplit/>
        </w:trPr>
        <w:tc>
          <w:tcPr>
            <w:tcW w:w="5490" w:type="dxa"/>
            <w:vAlign w:val="center"/>
          </w:tcPr>
          <w:p w14:paraId="125D740D" w14:textId="77777777" w:rsidR="004E7119" w:rsidRDefault="002A3363">
            <w:pPr>
              <w:spacing w:beforeAutospacing="1" w:afterAutospacing="1"/>
            </w:pPr>
            <w:r>
              <w:rPr>
                <w:rFonts w:ascii="Arial" w:hAnsi="Arial"/>
                <w:color w:val="25396E"/>
                <w:sz w:val="16"/>
              </w:rPr>
              <w:t>Other.</w:t>
            </w:r>
          </w:p>
        </w:tc>
        <w:tc>
          <w:tcPr>
            <w:tcW w:w="810" w:type="dxa"/>
            <w:vAlign w:val="center"/>
          </w:tcPr>
          <w:p w14:paraId="2639CAE0" w14:textId="77777777" w:rsidR="004E7119" w:rsidRDefault="002A3363">
            <w:pPr>
              <w:spacing w:beforeAutospacing="1" w:afterAutospacing="1"/>
              <w:jc w:val="right"/>
            </w:pPr>
            <w:r>
              <w:rPr>
                <w:rFonts w:ascii="Arial" w:hAnsi="Arial"/>
                <w:color w:val="000000"/>
                <w:sz w:val="16"/>
              </w:rPr>
              <w:t>0</w:t>
            </w:r>
          </w:p>
        </w:tc>
        <w:tc>
          <w:tcPr>
            <w:tcW w:w="900" w:type="dxa"/>
            <w:vAlign w:val="center"/>
          </w:tcPr>
          <w:p w14:paraId="1228B70A" w14:textId="77777777" w:rsidR="004E7119" w:rsidRDefault="002A3363">
            <w:pPr>
              <w:spacing w:beforeAutospacing="1" w:afterAutospacing="1"/>
              <w:jc w:val="right"/>
            </w:pPr>
            <w:r>
              <w:rPr>
                <w:rFonts w:ascii="Arial" w:hAnsi="Arial"/>
                <w:color w:val="000000"/>
                <w:sz w:val="16"/>
              </w:rPr>
              <w:t>0</w:t>
            </w:r>
          </w:p>
        </w:tc>
        <w:tc>
          <w:tcPr>
            <w:tcW w:w="720" w:type="dxa"/>
            <w:vAlign w:val="center"/>
          </w:tcPr>
          <w:p w14:paraId="3F02AEEF" w14:textId="77777777" w:rsidR="004E7119" w:rsidRDefault="002A3363">
            <w:pPr>
              <w:spacing w:beforeAutospacing="1" w:afterAutospacing="1"/>
              <w:jc w:val="right"/>
            </w:pPr>
            <w:r>
              <w:rPr>
                <w:rFonts w:ascii="Arial" w:hAnsi="Arial"/>
                <w:color w:val="000000"/>
                <w:sz w:val="16"/>
              </w:rPr>
              <w:t xml:space="preserve"> </w:t>
            </w:r>
          </w:p>
        </w:tc>
        <w:tc>
          <w:tcPr>
            <w:tcW w:w="990" w:type="dxa"/>
            <w:vAlign w:val="center"/>
          </w:tcPr>
          <w:p w14:paraId="64FDD86B" w14:textId="77777777" w:rsidR="004E7119" w:rsidRDefault="002A3363">
            <w:pPr>
              <w:spacing w:beforeAutospacing="1" w:afterAutospacing="1"/>
              <w:jc w:val="right"/>
            </w:pPr>
            <w:r>
              <w:rPr>
                <w:rFonts w:ascii="Arial" w:hAnsi="Arial"/>
                <w:color w:val="000000"/>
                <w:sz w:val="16"/>
              </w:rPr>
              <w:t xml:space="preserve"> </w:t>
            </w:r>
          </w:p>
        </w:tc>
        <w:tc>
          <w:tcPr>
            <w:tcW w:w="720" w:type="dxa"/>
            <w:vAlign w:val="center"/>
          </w:tcPr>
          <w:p w14:paraId="796479A7" w14:textId="77777777" w:rsidR="004E7119" w:rsidRDefault="002A3363">
            <w:pPr>
              <w:spacing w:beforeAutospacing="1" w:afterAutospacing="1"/>
              <w:jc w:val="right"/>
            </w:pPr>
            <w:r>
              <w:rPr>
                <w:rFonts w:ascii="Arial" w:hAnsi="Arial"/>
                <w:color w:val="000000"/>
                <w:sz w:val="16"/>
              </w:rPr>
              <w:t xml:space="preserve"> </w:t>
            </w:r>
          </w:p>
        </w:tc>
      </w:tr>
    </w:tbl>
    <w:p w14:paraId="5FFAF8B0" w14:textId="6C0A79F8" w:rsidR="004E7119" w:rsidRDefault="002A3363">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sidR="00A85082">
        <w:rPr>
          <w:rFonts w:asciiTheme="minorHAnsi" w:hAnsiTheme="minorHAnsi"/>
          <w:noProof/>
        </w:rPr>
        <w:t>15</w:t>
      </w:r>
      <w:r>
        <w:rPr>
          <w:rFonts w:asciiTheme="minorHAnsi" w:hAnsiTheme="minorHAnsi"/>
        </w:rPr>
        <w:fldChar w:fldCharType="end"/>
      </w:r>
      <w:r>
        <w:rPr>
          <w:rFonts w:asciiTheme="minorHAnsi" w:hAnsiTheme="minorHAnsi"/>
        </w:rPr>
        <w:t xml:space="preserve"> – Qualitative Efforts - Number of Activities by Program</w:t>
      </w:r>
    </w:p>
    <w:p w14:paraId="7D437491" w14:textId="77777777" w:rsidR="004E7119" w:rsidRDefault="002A3363">
      <w:pPr>
        <w:widowControl w:val="0"/>
        <w:rPr>
          <w:b/>
          <w:sz w:val="24"/>
          <w:szCs w:val="24"/>
        </w:rPr>
      </w:pPr>
      <w:r>
        <w:rPr>
          <w:b/>
          <w:sz w:val="24"/>
          <w:szCs w:val="24"/>
        </w:rPr>
        <w:lastRenderedPageBreak/>
        <w:t>Narrative</w:t>
      </w:r>
    </w:p>
    <w:p w14:paraId="1FDBD810" w14:textId="492BDD4D" w:rsidR="004E7119" w:rsidRDefault="002A3363">
      <w:pPr>
        <w:widowControl w:val="0"/>
        <w:spacing w:beforeAutospacing="1" w:afterAutospacing="1"/>
        <w:rPr>
          <w:rFonts w:cs="Arial"/>
        </w:rPr>
      </w:pPr>
      <w:r>
        <w:rPr>
          <w:rFonts w:cs="Arial"/>
        </w:rPr>
        <w:t xml:space="preserve">Brevard County participated in the Board of County Commissioners job </w:t>
      </w:r>
      <w:r w:rsidRPr="00BA64A3">
        <w:rPr>
          <w:rFonts w:cs="Arial"/>
        </w:rPr>
        <w:t>fair</w:t>
      </w:r>
      <w:r w:rsidR="007F6698" w:rsidRPr="00BA64A3">
        <w:rPr>
          <w:rFonts w:cs="Arial"/>
        </w:rPr>
        <w:t xml:space="preserve"> and numerous community events to share program information</w:t>
      </w:r>
      <w:r w:rsidRPr="00BA64A3">
        <w:rPr>
          <w:rFonts w:cs="Arial"/>
        </w:rPr>
        <w:t>. The City of Titusville provides Section 3 training opportunities and information on its webpage. It is difficult to engage new contractors or a variety of contractors for small-scale, single-family home rehabs that will not yield the same financial gains.</w:t>
      </w:r>
      <w:r>
        <w:rPr>
          <w:rFonts w:cs="Arial"/>
        </w:rPr>
        <w:t>  </w:t>
      </w:r>
    </w:p>
    <w:p w14:paraId="4FFC9B2E" w14:textId="77777777" w:rsidR="004E7119" w:rsidRDefault="004E7119"/>
    <w:sectPr w:rsidR="004E711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74E2A" w14:textId="77777777" w:rsidR="004E7119" w:rsidRDefault="002A3363">
      <w:r>
        <w:separator/>
      </w:r>
    </w:p>
  </w:endnote>
  <w:endnote w:type="continuationSeparator" w:id="0">
    <w:p w14:paraId="0D931854" w14:textId="77777777" w:rsidR="004E7119" w:rsidRDefault="002A3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5D55B" w14:textId="77777777" w:rsidR="00834183" w:rsidRDefault="008341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Look w:val="01E0" w:firstRow="1" w:lastRow="1" w:firstColumn="1" w:lastColumn="1" w:noHBand="0" w:noVBand="0"/>
    </w:tblPr>
    <w:tblGrid>
      <w:gridCol w:w="828"/>
      <w:gridCol w:w="7976"/>
      <w:gridCol w:w="772"/>
    </w:tblGrid>
    <w:tr w:rsidR="004E7119" w14:paraId="2A77C057" w14:textId="77777777">
      <w:trPr>
        <w:jc w:val="center"/>
      </w:trPr>
      <w:tc>
        <w:tcPr>
          <w:tcW w:w="828" w:type="dxa"/>
        </w:tcPr>
        <w:p w14:paraId="5FB8A490" w14:textId="77777777" w:rsidR="004E7119" w:rsidRDefault="004E7119">
          <w:pPr>
            <w:pStyle w:val="Footer"/>
            <w:spacing w:after="0" w:line="240" w:lineRule="auto"/>
            <w:jc w:val="center"/>
          </w:pPr>
        </w:p>
      </w:tc>
      <w:tc>
        <w:tcPr>
          <w:tcW w:w="7976" w:type="dxa"/>
        </w:tcPr>
        <w:p w14:paraId="498E0500" w14:textId="77777777" w:rsidR="004E7119" w:rsidRDefault="002A3363">
          <w:pPr>
            <w:pStyle w:val="Footer"/>
            <w:spacing w:after="0" w:line="240" w:lineRule="auto"/>
            <w:jc w:val="center"/>
          </w:pPr>
          <w:r>
            <w:t>CAPER</w:t>
          </w:r>
        </w:p>
      </w:tc>
      <w:tc>
        <w:tcPr>
          <w:tcW w:w="772" w:type="dxa"/>
        </w:tcPr>
        <w:p w14:paraId="68629EEC" w14:textId="77777777" w:rsidR="004E7119" w:rsidRDefault="002A3363">
          <w:pPr>
            <w:pStyle w:val="Footer"/>
            <w:spacing w:after="0" w:line="240" w:lineRule="auto"/>
            <w:jc w:val="right"/>
          </w:pPr>
          <w:r>
            <w:fldChar w:fldCharType="begin"/>
          </w:r>
          <w:r>
            <w:instrText>page</w:instrText>
          </w:r>
          <w:r>
            <w:fldChar w:fldCharType="separate"/>
          </w:r>
          <w:r>
            <w:t>1</w:t>
          </w:r>
          <w:r>
            <w:fldChar w:fldCharType="end"/>
          </w:r>
        </w:p>
      </w:tc>
    </w:tr>
  </w:tbl>
  <w:p w14:paraId="4F1AA611" w14:textId="77777777" w:rsidR="004E7119" w:rsidRDefault="002A3363">
    <w:pPr>
      <w:pStyle w:val="Footer"/>
      <w:spacing w:before="120" w:after="0"/>
      <w:rPr>
        <w:rFonts w:asciiTheme="minorHAnsi" w:hAnsiTheme="minorHAnsi"/>
        <w:b/>
        <w:i/>
        <w:sz w:val="16"/>
      </w:rPr>
    </w:pPr>
    <w:r>
      <w:rPr>
        <w:rFonts w:asciiTheme="minorHAnsi" w:hAnsiTheme="minorHAnsi" w:cs="Arial"/>
        <w:color w:val="000000"/>
        <w:sz w:val="16"/>
      </w:rPr>
      <w:t>OMB Control No: 2506-0117 (exp. 09/30/2021)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40799" w14:textId="77777777" w:rsidR="00834183" w:rsidRDefault="008341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A047C" w14:textId="77777777" w:rsidR="004E7119" w:rsidRDefault="002A3363">
      <w:r>
        <w:separator/>
      </w:r>
    </w:p>
  </w:footnote>
  <w:footnote w:type="continuationSeparator" w:id="0">
    <w:p w14:paraId="22F53CD0" w14:textId="77777777" w:rsidR="004E7119" w:rsidRDefault="002A33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9E828" w14:textId="77777777" w:rsidR="00834183" w:rsidRDefault="008341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9158569"/>
      <w:docPartObj>
        <w:docPartGallery w:val="Watermarks"/>
        <w:docPartUnique/>
      </w:docPartObj>
    </w:sdtPr>
    <w:sdtEndPr/>
    <w:sdtContent>
      <w:p w14:paraId="577BA2FD" w14:textId="01532986" w:rsidR="00834183" w:rsidRDefault="00F74FB9">
        <w:pPr>
          <w:pStyle w:val="Header"/>
        </w:pPr>
        <w:r>
          <w:rPr>
            <w:noProof/>
          </w:rPr>
          <w:pict w14:anchorId="33B463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AA3E0" w14:textId="77777777" w:rsidR="00834183" w:rsidRDefault="008341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3108E9C"/>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A3848782"/>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111CDC50"/>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6CECF734"/>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A8B8103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FECD4C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06E98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ACAE8C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3EC821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67F0FC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2A6DC6"/>
    <w:multiLevelType w:val="hybridMultilevel"/>
    <w:tmpl w:val="203CEBDC"/>
    <w:lvl w:ilvl="0" w:tplc="04090013">
      <w:start w:val="1"/>
      <w:numFmt w:val="upperRoman"/>
      <w:lvlText w:val="%1."/>
      <w:lvlJc w:val="right"/>
      <w:pPr>
        <w:tabs>
          <w:tab w:val="num" w:pos="720"/>
        </w:tabs>
        <w:ind w:left="720" w:hanging="18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045B42A3"/>
    <w:multiLevelType w:val="hybridMultilevel"/>
    <w:tmpl w:val="FA82EE94"/>
    <w:lvl w:ilvl="0" w:tplc="04090013">
      <w:start w:val="1"/>
      <w:numFmt w:val="upp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096527B9"/>
    <w:multiLevelType w:val="hybridMultilevel"/>
    <w:tmpl w:val="420A03D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3" w15:restartNumberingAfterBreak="0">
    <w:nsid w:val="0B8A5172"/>
    <w:multiLevelType w:val="hybridMultilevel"/>
    <w:tmpl w:val="C8169DEC"/>
    <w:lvl w:ilvl="0" w:tplc="84320B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0D7E59CB"/>
    <w:multiLevelType w:val="hybridMultilevel"/>
    <w:tmpl w:val="80D0367A"/>
    <w:lvl w:ilvl="0" w:tplc="C112779E">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5" w15:restartNumberingAfterBreak="0">
    <w:nsid w:val="1094271E"/>
    <w:multiLevelType w:val="hybridMultilevel"/>
    <w:tmpl w:val="E3DE6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8F1B10"/>
    <w:multiLevelType w:val="hybridMultilevel"/>
    <w:tmpl w:val="DBFC04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841E93"/>
    <w:multiLevelType w:val="hybridMultilevel"/>
    <w:tmpl w:val="EA382B4E"/>
    <w:lvl w:ilvl="0" w:tplc="CCF20592">
      <w:start w:val="1"/>
      <w:numFmt w:val="lowerLetter"/>
      <w:lvlText w:val="%1."/>
      <w:lvlJc w:val="left"/>
      <w:pPr>
        <w:ind w:left="720" w:hanging="360"/>
      </w:pPr>
      <w:rPr>
        <w:rFonts w:ascii="Calibri" w:eastAsia="Calibri" w:hAnsi="Calibri" w:cs="Calibr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9A3E8F"/>
    <w:multiLevelType w:val="hybridMultilevel"/>
    <w:tmpl w:val="7702014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9" w15:restartNumberingAfterBreak="0">
    <w:nsid w:val="58CE2ACE"/>
    <w:multiLevelType w:val="hybridMultilevel"/>
    <w:tmpl w:val="D780CAE8"/>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0" w15:restartNumberingAfterBreak="0">
    <w:nsid w:val="5ADE3474"/>
    <w:multiLevelType w:val="hybridMultilevel"/>
    <w:tmpl w:val="17FED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C06CAD"/>
    <w:multiLevelType w:val="hybridMultilevel"/>
    <w:tmpl w:val="E29E895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2" w15:restartNumberingAfterBreak="0">
    <w:nsid w:val="616B2114"/>
    <w:multiLevelType w:val="hybridMultilevel"/>
    <w:tmpl w:val="63EE1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5C4484"/>
    <w:multiLevelType w:val="hybridMultilevel"/>
    <w:tmpl w:val="650616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7CAD51AB"/>
    <w:multiLevelType w:val="hybridMultilevel"/>
    <w:tmpl w:val="242AB0BC"/>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5" w15:restartNumberingAfterBreak="0">
    <w:nsid w:val="7EF71A89"/>
    <w:multiLevelType w:val="hybridMultilevel"/>
    <w:tmpl w:val="218C715C"/>
    <w:lvl w:ilvl="0" w:tplc="FA309E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71494266">
    <w:abstractNumId w:val="11"/>
  </w:num>
  <w:num w:numId="2" w16cid:durableId="1435858422">
    <w:abstractNumId w:val="9"/>
  </w:num>
  <w:num w:numId="3" w16cid:durableId="1041784355">
    <w:abstractNumId w:val="7"/>
  </w:num>
  <w:num w:numId="4" w16cid:durableId="141503262">
    <w:abstractNumId w:val="6"/>
  </w:num>
  <w:num w:numId="5" w16cid:durableId="1665275928">
    <w:abstractNumId w:val="5"/>
  </w:num>
  <w:num w:numId="6" w16cid:durableId="650981873">
    <w:abstractNumId w:val="4"/>
  </w:num>
  <w:num w:numId="7" w16cid:durableId="706679624">
    <w:abstractNumId w:val="8"/>
  </w:num>
  <w:num w:numId="8" w16cid:durableId="894924438">
    <w:abstractNumId w:val="3"/>
  </w:num>
  <w:num w:numId="9" w16cid:durableId="3360407">
    <w:abstractNumId w:val="2"/>
  </w:num>
  <w:num w:numId="10" w16cid:durableId="1342775556">
    <w:abstractNumId w:val="1"/>
  </w:num>
  <w:num w:numId="11" w16cid:durableId="666637725">
    <w:abstractNumId w:val="0"/>
  </w:num>
  <w:num w:numId="12" w16cid:durableId="239564237">
    <w:abstractNumId w:val="10"/>
  </w:num>
  <w:num w:numId="13" w16cid:durableId="653292576">
    <w:abstractNumId w:val="24"/>
  </w:num>
  <w:num w:numId="14" w16cid:durableId="332268591">
    <w:abstractNumId w:val="19"/>
  </w:num>
  <w:num w:numId="15" w16cid:durableId="860558070">
    <w:abstractNumId w:val="18"/>
  </w:num>
  <w:num w:numId="16" w16cid:durableId="364408647">
    <w:abstractNumId w:val="23"/>
  </w:num>
  <w:num w:numId="17" w16cid:durableId="1467577764">
    <w:abstractNumId w:val="14"/>
  </w:num>
  <w:num w:numId="18" w16cid:durableId="2017151881">
    <w:abstractNumId w:val="12"/>
  </w:num>
  <w:num w:numId="19" w16cid:durableId="608318395">
    <w:abstractNumId w:val="21"/>
  </w:num>
  <w:num w:numId="20" w16cid:durableId="74669184">
    <w:abstractNumId w:val="20"/>
  </w:num>
  <w:num w:numId="21" w16cid:durableId="922684024">
    <w:abstractNumId w:val="17"/>
  </w:num>
  <w:num w:numId="22" w16cid:durableId="1136601713">
    <w:abstractNumId w:val="16"/>
  </w:num>
  <w:num w:numId="23" w16cid:durableId="699010893">
    <w:abstractNumId w:val="13"/>
  </w:num>
  <w:num w:numId="24" w16cid:durableId="1370374344">
    <w:abstractNumId w:val="25"/>
  </w:num>
  <w:num w:numId="25" w16cid:durableId="890506434">
    <w:abstractNumId w:val="15"/>
  </w:num>
  <w:num w:numId="26" w16cid:durableId="211138789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550"/>
    <w:rsid w:val="00000EC6"/>
    <w:rsid w:val="00001671"/>
    <w:rsid w:val="0000299C"/>
    <w:rsid w:val="000035A3"/>
    <w:rsid w:val="00003E3A"/>
    <w:rsid w:val="00004341"/>
    <w:rsid w:val="00004F01"/>
    <w:rsid w:val="000055F1"/>
    <w:rsid w:val="00006999"/>
    <w:rsid w:val="00007A74"/>
    <w:rsid w:val="000101FE"/>
    <w:rsid w:val="000109A7"/>
    <w:rsid w:val="000116B2"/>
    <w:rsid w:val="00011E9C"/>
    <w:rsid w:val="00012E9D"/>
    <w:rsid w:val="00013481"/>
    <w:rsid w:val="000146AF"/>
    <w:rsid w:val="00014B5F"/>
    <w:rsid w:val="0001643E"/>
    <w:rsid w:val="0001694F"/>
    <w:rsid w:val="00017C8C"/>
    <w:rsid w:val="000202EB"/>
    <w:rsid w:val="000204C7"/>
    <w:rsid w:val="00022CF5"/>
    <w:rsid w:val="000237FC"/>
    <w:rsid w:val="000250A9"/>
    <w:rsid w:val="0002592E"/>
    <w:rsid w:val="00025951"/>
    <w:rsid w:val="00025DEC"/>
    <w:rsid w:val="00026149"/>
    <w:rsid w:val="00027899"/>
    <w:rsid w:val="00027D94"/>
    <w:rsid w:val="00027FD4"/>
    <w:rsid w:val="00030C85"/>
    <w:rsid w:val="00031960"/>
    <w:rsid w:val="000325F0"/>
    <w:rsid w:val="00032C1E"/>
    <w:rsid w:val="0003300B"/>
    <w:rsid w:val="0003316E"/>
    <w:rsid w:val="00033A35"/>
    <w:rsid w:val="0003459B"/>
    <w:rsid w:val="00035628"/>
    <w:rsid w:val="000357CA"/>
    <w:rsid w:val="00035F04"/>
    <w:rsid w:val="000365DA"/>
    <w:rsid w:val="00037C8A"/>
    <w:rsid w:val="00040E81"/>
    <w:rsid w:val="0004164B"/>
    <w:rsid w:val="00042C4D"/>
    <w:rsid w:val="0004355B"/>
    <w:rsid w:val="00043B67"/>
    <w:rsid w:val="00044295"/>
    <w:rsid w:val="00044565"/>
    <w:rsid w:val="00044EC9"/>
    <w:rsid w:val="00045540"/>
    <w:rsid w:val="00047ADC"/>
    <w:rsid w:val="00047DD2"/>
    <w:rsid w:val="00047E3E"/>
    <w:rsid w:val="0005057C"/>
    <w:rsid w:val="000518AA"/>
    <w:rsid w:val="00052543"/>
    <w:rsid w:val="0005399B"/>
    <w:rsid w:val="00053D85"/>
    <w:rsid w:val="00053E62"/>
    <w:rsid w:val="00054780"/>
    <w:rsid w:val="000549C7"/>
    <w:rsid w:val="00054D96"/>
    <w:rsid w:val="00056828"/>
    <w:rsid w:val="00057E29"/>
    <w:rsid w:val="00060CE4"/>
    <w:rsid w:val="00061845"/>
    <w:rsid w:val="00061B37"/>
    <w:rsid w:val="00061E41"/>
    <w:rsid w:val="000620FD"/>
    <w:rsid w:val="000623F4"/>
    <w:rsid w:val="00062FA7"/>
    <w:rsid w:val="00063F1C"/>
    <w:rsid w:val="00065D4E"/>
    <w:rsid w:val="000661A8"/>
    <w:rsid w:val="00066237"/>
    <w:rsid w:val="000670CF"/>
    <w:rsid w:val="00067FD4"/>
    <w:rsid w:val="00070633"/>
    <w:rsid w:val="00071C7C"/>
    <w:rsid w:val="00072C8A"/>
    <w:rsid w:val="00072F46"/>
    <w:rsid w:val="000734F6"/>
    <w:rsid w:val="00073E7A"/>
    <w:rsid w:val="00074180"/>
    <w:rsid w:val="00074919"/>
    <w:rsid w:val="00074DEF"/>
    <w:rsid w:val="0007533E"/>
    <w:rsid w:val="00075AB2"/>
    <w:rsid w:val="0007671E"/>
    <w:rsid w:val="00076CF5"/>
    <w:rsid w:val="00076D36"/>
    <w:rsid w:val="00077619"/>
    <w:rsid w:val="00077A7A"/>
    <w:rsid w:val="00077AB6"/>
    <w:rsid w:val="00077F16"/>
    <w:rsid w:val="00080209"/>
    <w:rsid w:val="0008068E"/>
    <w:rsid w:val="00080943"/>
    <w:rsid w:val="00080ECB"/>
    <w:rsid w:val="00080FA0"/>
    <w:rsid w:val="00081076"/>
    <w:rsid w:val="00081136"/>
    <w:rsid w:val="0008221D"/>
    <w:rsid w:val="0008229D"/>
    <w:rsid w:val="000825DF"/>
    <w:rsid w:val="0008289F"/>
    <w:rsid w:val="000831B8"/>
    <w:rsid w:val="000832B3"/>
    <w:rsid w:val="0008384E"/>
    <w:rsid w:val="00083B49"/>
    <w:rsid w:val="00083B9A"/>
    <w:rsid w:val="00083BEB"/>
    <w:rsid w:val="00084058"/>
    <w:rsid w:val="0008420F"/>
    <w:rsid w:val="00084385"/>
    <w:rsid w:val="00084E02"/>
    <w:rsid w:val="00085ECE"/>
    <w:rsid w:val="0008764E"/>
    <w:rsid w:val="00087BEC"/>
    <w:rsid w:val="00091139"/>
    <w:rsid w:val="000920F8"/>
    <w:rsid w:val="00092FA7"/>
    <w:rsid w:val="00093600"/>
    <w:rsid w:val="0009415B"/>
    <w:rsid w:val="0009419B"/>
    <w:rsid w:val="0009466E"/>
    <w:rsid w:val="00094C65"/>
    <w:rsid w:val="00095D20"/>
    <w:rsid w:val="00096632"/>
    <w:rsid w:val="00096BAB"/>
    <w:rsid w:val="00096FE3"/>
    <w:rsid w:val="000975D9"/>
    <w:rsid w:val="00097D73"/>
    <w:rsid w:val="000A22C7"/>
    <w:rsid w:val="000A3328"/>
    <w:rsid w:val="000A3869"/>
    <w:rsid w:val="000A3AF5"/>
    <w:rsid w:val="000A3DED"/>
    <w:rsid w:val="000A49C3"/>
    <w:rsid w:val="000A6604"/>
    <w:rsid w:val="000A700E"/>
    <w:rsid w:val="000A7EB6"/>
    <w:rsid w:val="000B0148"/>
    <w:rsid w:val="000B05D4"/>
    <w:rsid w:val="000B0735"/>
    <w:rsid w:val="000B1705"/>
    <w:rsid w:val="000B291F"/>
    <w:rsid w:val="000B3DD8"/>
    <w:rsid w:val="000B45BD"/>
    <w:rsid w:val="000B5D24"/>
    <w:rsid w:val="000B6036"/>
    <w:rsid w:val="000B6192"/>
    <w:rsid w:val="000B6842"/>
    <w:rsid w:val="000B7A3C"/>
    <w:rsid w:val="000C0752"/>
    <w:rsid w:val="000C0905"/>
    <w:rsid w:val="000C0B16"/>
    <w:rsid w:val="000C20FC"/>
    <w:rsid w:val="000C23F6"/>
    <w:rsid w:val="000C265E"/>
    <w:rsid w:val="000C26F5"/>
    <w:rsid w:val="000C3ACA"/>
    <w:rsid w:val="000C5AF9"/>
    <w:rsid w:val="000C666E"/>
    <w:rsid w:val="000C6D64"/>
    <w:rsid w:val="000C7403"/>
    <w:rsid w:val="000C74F3"/>
    <w:rsid w:val="000D01E0"/>
    <w:rsid w:val="000D0DF2"/>
    <w:rsid w:val="000D14F6"/>
    <w:rsid w:val="000D1DC9"/>
    <w:rsid w:val="000D422A"/>
    <w:rsid w:val="000D488E"/>
    <w:rsid w:val="000D6011"/>
    <w:rsid w:val="000D6A4D"/>
    <w:rsid w:val="000D6CFF"/>
    <w:rsid w:val="000D71A6"/>
    <w:rsid w:val="000D7D16"/>
    <w:rsid w:val="000D7FA6"/>
    <w:rsid w:val="000E0343"/>
    <w:rsid w:val="000E0AAE"/>
    <w:rsid w:val="000E0D5D"/>
    <w:rsid w:val="000E13BA"/>
    <w:rsid w:val="000E1DFB"/>
    <w:rsid w:val="000E1F9B"/>
    <w:rsid w:val="000E2A69"/>
    <w:rsid w:val="000E2C4D"/>
    <w:rsid w:val="000E4A11"/>
    <w:rsid w:val="000E5032"/>
    <w:rsid w:val="000E53D6"/>
    <w:rsid w:val="000E5653"/>
    <w:rsid w:val="000E5FBD"/>
    <w:rsid w:val="000E60F9"/>
    <w:rsid w:val="000E6121"/>
    <w:rsid w:val="000E640E"/>
    <w:rsid w:val="000E6B9A"/>
    <w:rsid w:val="000E6CB6"/>
    <w:rsid w:val="000F04AF"/>
    <w:rsid w:val="000F0F15"/>
    <w:rsid w:val="000F1426"/>
    <w:rsid w:val="000F21DE"/>
    <w:rsid w:val="000F503D"/>
    <w:rsid w:val="000F5CFC"/>
    <w:rsid w:val="000F683C"/>
    <w:rsid w:val="000F68C6"/>
    <w:rsid w:val="000F6B53"/>
    <w:rsid w:val="001000D7"/>
    <w:rsid w:val="00100AD6"/>
    <w:rsid w:val="00101E3D"/>
    <w:rsid w:val="001020C7"/>
    <w:rsid w:val="00102442"/>
    <w:rsid w:val="0010332E"/>
    <w:rsid w:val="00104032"/>
    <w:rsid w:val="0010487A"/>
    <w:rsid w:val="00106CAB"/>
    <w:rsid w:val="0010757C"/>
    <w:rsid w:val="001101BB"/>
    <w:rsid w:val="001105E4"/>
    <w:rsid w:val="00111DEA"/>
    <w:rsid w:val="00111F9F"/>
    <w:rsid w:val="001121F8"/>
    <w:rsid w:val="00112F30"/>
    <w:rsid w:val="0011341D"/>
    <w:rsid w:val="00113720"/>
    <w:rsid w:val="0011453E"/>
    <w:rsid w:val="00114CA6"/>
    <w:rsid w:val="00115066"/>
    <w:rsid w:val="001179F2"/>
    <w:rsid w:val="00117AB9"/>
    <w:rsid w:val="00117CAF"/>
    <w:rsid w:val="001200A2"/>
    <w:rsid w:val="00120904"/>
    <w:rsid w:val="00123B67"/>
    <w:rsid w:val="001244C5"/>
    <w:rsid w:val="00124E85"/>
    <w:rsid w:val="00125428"/>
    <w:rsid w:val="001254FE"/>
    <w:rsid w:val="001256B0"/>
    <w:rsid w:val="00125FCA"/>
    <w:rsid w:val="00126022"/>
    <w:rsid w:val="001261A0"/>
    <w:rsid w:val="00126DE0"/>
    <w:rsid w:val="001274C4"/>
    <w:rsid w:val="001324A6"/>
    <w:rsid w:val="00132B0C"/>
    <w:rsid w:val="00132CEA"/>
    <w:rsid w:val="00133EA4"/>
    <w:rsid w:val="00134B79"/>
    <w:rsid w:val="0013545A"/>
    <w:rsid w:val="00135B76"/>
    <w:rsid w:val="00135EA7"/>
    <w:rsid w:val="00136724"/>
    <w:rsid w:val="00136C8E"/>
    <w:rsid w:val="00137DF0"/>
    <w:rsid w:val="00140410"/>
    <w:rsid w:val="001408A5"/>
    <w:rsid w:val="00141F8B"/>
    <w:rsid w:val="001426D3"/>
    <w:rsid w:val="001439B4"/>
    <w:rsid w:val="001442FB"/>
    <w:rsid w:val="001452F7"/>
    <w:rsid w:val="0014572F"/>
    <w:rsid w:val="001460FB"/>
    <w:rsid w:val="00146C9E"/>
    <w:rsid w:val="0014790F"/>
    <w:rsid w:val="0015000D"/>
    <w:rsid w:val="00150082"/>
    <w:rsid w:val="001501DB"/>
    <w:rsid w:val="00150466"/>
    <w:rsid w:val="00150A50"/>
    <w:rsid w:val="00150B00"/>
    <w:rsid w:val="00151FDE"/>
    <w:rsid w:val="001539D4"/>
    <w:rsid w:val="0015548F"/>
    <w:rsid w:val="00156045"/>
    <w:rsid w:val="00156205"/>
    <w:rsid w:val="00157867"/>
    <w:rsid w:val="00157D8A"/>
    <w:rsid w:val="00157DD0"/>
    <w:rsid w:val="0016089C"/>
    <w:rsid w:val="00160AC1"/>
    <w:rsid w:val="00162077"/>
    <w:rsid w:val="001622E0"/>
    <w:rsid w:val="0016267E"/>
    <w:rsid w:val="00162A99"/>
    <w:rsid w:val="00163BA8"/>
    <w:rsid w:val="00164969"/>
    <w:rsid w:val="00165559"/>
    <w:rsid w:val="001657BA"/>
    <w:rsid w:val="00165B3F"/>
    <w:rsid w:val="00166377"/>
    <w:rsid w:val="00166FC2"/>
    <w:rsid w:val="00167346"/>
    <w:rsid w:val="001703C2"/>
    <w:rsid w:val="0017149C"/>
    <w:rsid w:val="00171CA8"/>
    <w:rsid w:val="001728FD"/>
    <w:rsid w:val="00172A41"/>
    <w:rsid w:val="00172D3C"/>
    <w:rsid w:val="00173660"/>
    <w:rsid w:val="0017391B"/>
    <w:rsid w:val="00173954"/>
    <w:rsid w:val="001748A8"/>
    <w:rsid w:val="001748F8"/>
    <w:rsid w:val="00174E22"/>
    <w:rsid w:val="00174F62"/>
    <w:rsid w:val="00175A92"/>
    <w:rsid w:val="00176F2C"/>
    <w:rsid w:val="0017730C"/>
    <w:rsid w:val="00177DEF"/>
    <w:rsid w:val="00180218"/>
    <w:rsid w:val="001805B4"/>
    <w:rsid w:val="00180753"/>
    <w:rsid w:val="00181247"/>
    <w:rsid w:val="00181253"/>
    <w:rsid w:val="00182552"/>
    <w:rsid w:val="00182A06"/>
    <w:rsid w:val="00183202"/>
    <w:rsid w:val="0018383F"/>
    <w:rsid w:val="0018415D"/>
    <w:rsid w:val="00184182"/>
    <w:rsid w:val="00184AE8"/>
    <w:rsid w:val="00184B4B"/>
    <w:rsid w:val="00184CFB"/>
    <w:rsid w:val="00184F71"/>
    <w:rsid w:val="00184F89"/>
    <w:rsid w:val="00186776"/>
    <w:rsid w:val="001876CD"/>
    <w:rsid w:val="00190078"/>
    <w:rsid w:val="00190429"/>
    <w:rsid w:val="00192527"/>
    <w:rsid w:val="00192E4D"/>
    <w:rsid w:val="00193AF0"/>
    <w:rsid w:val="0019437E"/>
    <w:rsid w:val="001949B1"/>
    <w:rsid w:val="00194CDA"/>
    <w:rsid w:val="00194DE6"/>
    <w:rsid w:val="001964F3"/>
    <w:rsid w:val="00197A7A"/>
    <w:rsid w:val="001A0074"/>
    <w:rsid w:val="001A0F7B"/>
    <w:rsid w:val="001A1131"/>
    <w:rsid w:val="001A226D"/>
    <w:rsid w:val="001A304E"/>
    <w:rsid w:val="001A44BB"/>
    <w:rsid w:val="001A4F93"/>
    <w:rsid w:val="001A5FE1"/>
    <w:rsid w:val="001A6644"/>
    <w:rsid w:val="001A6F81"/>
    <w:rsid w:val="001A7613"/>
    <w:rsid w:val="001A7F28"/>
    <w:rsid w:val="001B0BA7"/>
    <w:rsid w:val="001B177E"/>
    <w:rsid w:val="001B469C"/>
    <w:rsid w:val="001B5AF8"/>
    <w:rsid w:val="001B64F7"/>
    <w:rsid w:val="001B6520"/>
    <w:rsid w:val="001B6936"/>
    <w:rsid w:val="001B75E2"/>
    <w:rsid w:val="001B7DB9"/>
    <w:rsid w:val="001C0F5D"/>
    <w:rsid w:val="001C1880"/>
    <w:rsid w:val="001C1B65"/>
    <w:rsid w:val="001C2492"/>
    <w:rsid w:val="001C2692"/>
    <w:rsid w:val="001C38E2"/>
    <w:rsid w:val="001C3C19"/>
    <w:rsid w:val="001C3E92"/>
    <w:rsid w:val="001C4867"/>
    <w:rsid w:val="001C4EAB"/>
    <w:rsid w:val="001C516A"/>
    <w:rsid w:val="001C61C3"/>
    <w:rsid w:val="001C696A"/>
    <w:rsid w:val="001C6CFF"/>
    <w:rsid w:val="001C79ED"/>
    <w:rsid w:val="001D0384"/>
    <w:rsid w:val="001D1DCF"/>
    <w:rsid w:val="001D20E3"/>
    <w:rsid w:val="001D26C6"/>
    <w:rsid w:val="001D285F"/>
    <w:rsid w:val="001D3A7D"/>
    <w:rsid w:val="001D4366"/>
    <w:rsid w:val="001D5457"/>
    <w:rsid w:val="001D68CD"/>
    <w:rsid w:val="001D6AF5"/>
    <w:rsid w:val="001D6ECF"/>
    <w:rsid w:val="001D7832"/>
    <w:rsid w:val="001D78ED"/>
    <w:rsid w:val="001D79E2"/>
    <w:rsid w:val="001E1072"/>
    <w:rsid w:val="001E2322"/>
    <w:rsid w:val="001E325A"/>
    <w:rsid w:val="001E3EA8"/>
    <w:rsid w:val="001E47F6"/>
    <w:rsid w:val="001E4C5B"/>
    <w:rsid w:val="001E4D04"/>
    <w:rsid w:val="001E551F"/>
    <w:rsid w:val="001E61D5"/>
    <w:rsid w:val="001E6312"/>
    <w:rsid w:val="001E6E6E"/>
    <w:rsid w:val="001E763D"/>
    <w:rsid w:val="001E7D42"/>
    <w:rsid w:val="001F0B25"/>
    <w:rsid w:val="001F1BE7"/>
    <w:rsid w:val="001F2FC4"/>
    <w:rsid w:val="001F32DE"/>
    <w:rsid w:val="001F3C7D"/>
    <w:rsid w:val="001F3CB4"/>
    <w:rsid w:val="001F68DE"/>
    <w:rsid w:val="001F753C"/>
    <w:rsid w:val="0020381C"/>
    <w:rsid w:val="00203C89"/>
    <w:rsid w:val="00204041"/>
    <w:rsid w:val="00204CFE"/>
    <w:rsid w:val="00204E13"/>
    <w:rsid w:val="00205644"/>
    <w:rsid w:val="00205CCE"/>
    <w:rsid w:val="00207A05"/>
    <w:rsid w:val="00210BE4"/>
    <w:rsid w:val="002111DD"/>
    <w:rsid w:val="002116BD"/>
    <w:rsid w:val="00212E96"/>
    <w:rsid w:val="002137A1"/>
    <w:rsid w:val="00213DE0"/>
    <w:rsid w:val="00214170"/>
    <w:rsid w:val="002150FE"/>
    <w:rsid w:val="00215FFC"/>
    <w:rsid w:val="00216A02"/>
    <w:rsid w:val="00216DD3"/>
    <w:rsid w:val="00217523"/>
    <w:rsid w:val="0021781D"/>
    <w:rsid w:val="00217B66"/>
    <w:rsid w:val="00217EA0"/>
    <w:rsid w:val="00220C8E"/>
    <w:rsid w:val="002211EC"/>
    <w:rsid w:val="00221262"/>
    <w:rsid w:val="00221D81"/>
    <w:rsid w:val="00224031"/>
    <w:rsid w:val="00224741"/>
    <w:rsid w:val="002248BD"/>
    <w:rsid w:val="00224CD2"/>
    <w:rsid w:val="002266F1"/>
    <w:rsid w:val="002267F1"/>
    <w:rsid w:val="00226B59"/>
    <w:rsid w:val="00230EF6"/>
    <w:rsid w:val="002311BD"/>
    <w:rsid w:val="002323D0"/>
    <w:rsid w:val="0023315D"/>
    <w:rsid w:val="00233524"/>
    <w:rsid w:val="00233736"/>
    <w:rsid w:val="00233956"/>
    <w:rsid w:val="002346CD"/>
    <w:rsid w:val="00236F35"/>
    <w:rsid w:val="00236F9D"/>
    <w:rsid w:val="002375B4"/>
    <w:rsid w:val="00240369"/>
    <w:rsid w:val="00240AEF"/>
    <w:rsid w:val="002412A0"/>
    <w:rsid w:val="0024397D"/>
    <w:rsid w:val="00243BB2"/>
    <w:rsid w:val="0024409B"/>
    <w:rsid w:val="00244529"/>
    <w:rsid w:val="00244EDB"/>
    <w:rsid w:val="0024534C"/>
    <w:rsid w:val="00247E65"/>
    <w:rsid w:val="0025080C"/>
    <w:rsid w:val="0025207C"/>
    <w:rsid w:val="00254774"/>
    <w:rsid w:val="002549A0"/>
    <w:rsid w:val="00254E07"/>
    <w:rsid w:val="0025577D"/>
    <w:rsid w:val="00255CB4"/>
    <w:rsid w:val="0025607E"/>
    <w:rsid w:val="00256481"/>
    <w:rsid w:val="002564B0"/>
    <w:rsid w:val="00257643"/>
    <w:rsid w:val="00260080"/>
    <w:rsid w:val="00260770"/>
    <w:rsid w:val="00260E1E"/>
    <w:rsid w:val="00260F6E"/>
    <w:rsid w:val="00261EA3"/>
    <w:rsid w:val="002623FE"/>
    <w:rsid w:val="00262D53"/>
    <w:rsid w:val="00263CA8"/>
    <w:rsid w:val="002643F3"/>
    <w:rsid w:val="0026448F"/>
    <w:rsid w:val="002658A0"/>
    <w:rsid w:val="002660BC"/>
    <w:rsid w:val="00267042"/>
    <w:rsid w:val="00267FE2"/>
    <w:rsid w:val="0027020F"/>
    <w:rsid w:val="002707F7"/>
    <w:rsid w:val="00270B46"/>
    <w:rsid w:val="00270E66"/>
    <w:rsid w:val="002721FA"/>
    <w:rsid w:val="0027253B"/>
    <w:rsid w:val="00272758"/>
    <w:rsid w:val="00272E1D"/>
    <w:rsid w:val="00275F5E"/>
    <w:rsid w:val="00276096"/>
    <w:rsid w:val="002764CB"/>
    <w:rsid w:val="0027673E"/>
    <w:rsid w:val="00277A52"/>
    <w:rsid w:val="00277D0B"/>
    <w:rsid w:val="0028052A"/>
    <w:rsid w:val="002805C4"/>
    <w:rsid w:val="00283CA8"/>
    <w:rsid w:val="002845D3"/>
    <w:rsid w:val="0028480F"/>
    <w:rsid w:val="00284AD9"/>
    <w:rsid w:val="00284E5C"/>
    <w:rsid w:val="00285752"/>
    <w:rsid w:val="0028792C"/>
    <w:rsid w:val="002879F1"/>
    <w:rsid w:val="002905D8"/>
    <w:rsid w:val="00290DB9"/>
    <w:rsid w:val="00291155"/>
    <w:rsid w:val="00291F7B"/>
    <w:rsid w:val="002925AD"/>
    <w:rsid w:val="00292ECE"/>
    <w:rsid w:val="002940C6"/>
    <w:rsid w:val="00294B1B"/>
    <w:rsid w:val="00294CA9"/>
    <w:rsid w:val="00295998"/>
    <w:rsid w:val="002969C3"/>
    <w:rsid w:val="00297030"/>
    <w:rsid w:val="002A1320"/>
    <w:rsid w:val="002A19C0"/>
    <w:rsid w:val="002A2068"/>
    <w:rsid w:val="002A206F"/>
    <w:rsid w:val="002A2980"/>
    <w:rsid w:val="002A3363"/>
    <w:rsid w:val="002A33F3"/>
    <w:rsid w:val="002A4896"/>
    <w:rsid w:val="002A49B8"/>
    <w:rsid w:val="002A4D9A"/>
    <w:rsid w:val="002A4E8C"/>
    <w:rsid w:val="002A5179"/>
    <w:rsid w:val="002A57D8"/>
    <w:rsid w:val="002A5D07"/>
    <w:rsid w:val="002A7146"/>
    <w:rsid w:val="002B260A"/>
    <w:rsid w:val="002B57CF"/>
    <w:rsid w:val="002B67A3"/>
    <w:rsid w:val="002C12CE"/>
    <w:rsid w:val="002C155C"/>
    <w:rsid w:val="002C2FAB"/>
    <w:rsid w:val="002C3395"/>
    <w:rsid w:val="002C3564"/>
    <w:rsid w:val="002C4269"/>
    <w:rsid w:val="002C451D"/>
    <w:rsid w:val="002C547E"/>
    <w:rsid w:val="002C55DF"/>
    <w:rsid w:val="002C5F73"/>
    <w:rsid w:val="002C7DA5"/>
    <w:rsid w:val="002D05EB"/>
    <w:rsid w:val="002D3381"/>
    <w:rsid w:val="002D34A9"/>
    <w:rsid w:val="002D3760"/>
    <w:rsid w:val="002D45E4"/>
    <w:rsid w:val="002D478C"/>
    <w:rsid w:val="002D5755"/>
    <w:rsid w:val="002D6121"/>
    <w:rsid w:val="002D71DF"/>
    <w:rsid w:val="002D72DF"/>
    <w:rsid w:val="002D7CFD"/>
    <w:rsid w:val="002E04EA"/>
    <w:rsid w:val="002E0765"/>
    <w:rsid w:val="002E2948"/>
    <w:rsid w:val="002E373E"/>
    <w:rsid w:val="002E5E11"/>
    <w:rsid w:val="002E7287"/>
    <w:rsid w:val="002E7F4C"/>
    <w:rsid w:val="002F00E3"/>
    <w:rsid w:val="002F0A95"/>
    <w:rsid w:val="002F13AD"/>
    <w:rsid w:val="002F1FFB"/>
    <w:rsid w:val="002F2A9F"/>
    <w:rsid w:val="002F3E66"/>
    <w:rsid w:val="002F4183"/>
    <w:rsid w:val="002F475D"/>
    <w:rsid w:val="002F5272"/>
    <w:rsid w:val="002F576A"/>
    <w:rsid w:val="002F664F"/>
    <w:rsid w:val="002F6913"/>
    <w:rsid w:val="002F7A63"/>
    <w:rsid w:val="003003C0"/>
    <w:rsid w:val="0030068B"/>
    <w:rsid w:val="00300855"/>
    <w:rsid w:val="003022E2"/>
    <w:rsid w:val="00302737"/>
    <w:rsid w:val="00302A61"/>
    <w:rsid w:val="003045D1"/>
    <w:rsid w:val="003045F6"/>
    <w:rsid w:val="00304D73"/>
    <w:rsid w:val="00305182"/>
    <w:rsid w:val="003056D6"/>
    <w:rsid w:val="0030598B"/>
    <w:rsid w:val="0030672D"/>
    <w:rsid w:val="00306E0A"/>
    <w:rsid w:val="00306F39"/>
    <w:rsid w:val="00307566"/>
    <w:rsid w:val="00307CCF"/>
    <w:rsid w:val="00310AA9"/>
    <w:rsid w:val="00311270"/>
    <w:rsid w:val="003113E0"/>
    <w:rsid w:val="003118D7"/>
    <w:rsid w:val="00312C1B"/>
    <w:rsid w:val="003138AA"/>
    <w:rsid w:val="00313917"/>
    <w:rsid w:val="00314B0B"/>
    <w:rsid w:val="003156F5"/>
    <w:rsid w:val="00316098"/>
    <w:rsid w:val="0031655F"/>
    <w:rsid w:val="00316631"/>
    <w:rsid w:val="00316EE5"/>
    <w:rsid w:val="00320E49"/>
    <w:rsid w:val="003214A9"/>
    <w:rsid w:val="00321A46"/>
    <w:rsid w:val="00322F17"/>
    <w:rsid w:val="00323DAF"/>
    <w:rsid w:val="0032477D"/>
    <w:rsid w:val="003257E9"/>
    <w:rsid w:val="003262D2"/>
    <w:rsid w:val="00327329"/>
    <w:rsid w:val="00327477"/>
    <w:rsid w:val="00327499"/>
    <w:rsid w:val="00327DDD"/>
    <w:rsid w:val="0033058A"/>
    <w:rsid w:val="0033064E"/>
    <w:rsid w:val="00330AC7"/>
    <w:rsid w:val="003316A0"/>
    <w:rsid w:val="003316DF"/>
    <w:rsid w:val="0033187D"/>
    <w:rsid w:val="0033195A"/>
    <w:rsid w:val="00332A82"/>
    <w:rsid w:val="00333ECA"/>
    <w:rsid w:val="00334122"/>
    <w:rsid w:val="00334913"/>
    <w:rsid w:val="003350EA"/>
    <w:rsid w:val="00335120"/>
    <w:rsid w:val="003371DB"/>
    <w:rsid w:val="00337C8A"/>
    <w:rsid w:val="0034130D"/>
    <w:rsid w:val="0034133C"/>
    <w:rsid w:val="003416A3"/>
    <w:rsid w:val="003416A7"/>
    <w:rsid w:val="00341BA7"/>
    <w:rsid w:val="00342143"/>
    <w:rsid w:val="00342F57"/>
    <w:rsid w:val="00343DFD"/>
    <w:rsid w:val="0034477A"/>
    <w:rsid w:val="00344D4F"/>
    <w:rsid w:val="0034596B"/>
    <w:rsid w:val="00346C40"/>
    <w:rsid w:val="00347C60"/>
    <w:rsid w:val="00350450"/>
    <w:rsid w:val="00350482"/>
    <w:rsid w:val="003504FE"/>
    <w:rsid w:val="00350A6A"/>
    <w:rsid w:val="003518E2"/>
    <w:rsid w:val="00351BC5"/>
    <w:rsid w:val="00351DF3"/>
    <w:rsid w:val="003521B8"/>
    <w:rsid w:val="00352316"/>
    <w:rsid w:val="00352E8A"/>
    <w:rsid w:val="0035324B"/>
    <w:rsid w:val="003543C9"/>
    <w:rsid w:val="00354514"/>
    <w:rsid w:val="003550DA"/>
    <w:rsid w:val="003558E7"/>
    <w:rsid w:val="00355CF4"/>
    <w:rsid w:val="00355E11"/>
    <w:rsid w:val="0035636E"/>
    <w:rsid w:val="00357C5C"/>
    <w:rsid w:val="00361CC3"/>
    <w:rsid w:val="00362941"/>
    <w:rsid w:val="00362BC6"/>
    <w:rsid w:val="00362BEC"/>
    <w:rsid w:val="003636A4"/>
    <w:rsid w:val="00365CE8"/>
    <w:rsid w:val="00367870"/>
    <w:rsid w:val="00370741"/>
    <w:rsid w:val="0037146A"/>
    <w:rsid w:val="0037176A"/>
    <w:rsid w:val="00371907"/>
    <w:rsid w:val="00375479"/>
    <w:rsid w:val="0037664B"/>
    <w:rsid w:val="0037754F"/>
    <w:rsid w:val="00377ACE"/>
    <w:rsid w:val="00380C4B"/>
    <w:rsid w:val="00380EAD"/>
    <w:rsid w:val="003814EF"/>
    <w:rsid w:val="00383267"/>
    <w:rsid w:val="00383430"/>
    <w:rsid w:val="003837F6"/>
    <w:rsid w:val="00383DA8"/>
    <w:rsid w:val="00384469"/>
    <w:rsid w:val="0038548B"/>
    <w:rsid w:val="0038596A"/>
    <w:rsid w:val="003916D4"/>
    <w:rsid w:val="003917ED"/>
    <w:rsid w:val="003923B5"/>
    <w:rsid w:val="00392557"/>
    <w:rsid w:val="00392955"/>
    <w:rsid w:val="00392D92"/>
    <w:rsid w:val="00393270"/>
    <w:rsid w:val="0039344B"/>
    <w:rsid w:val="00393D1A"/>
    <w:rsid w:val="00394D6A"/>
    <w:rsid w:val="00394F4A"/>
    <w:rsid w:val="003958CF"/>
    <w:rsid w:val="00396613"/>
    <w:rsid w:val="00396711"/>
    <w:rsid w:val="003A0228"/>
    <w:rsid w:val="003A05A0"/>
    <w:rsid w:val="003A05C5"/>
    <w:rsid w:val="003A0B07"/>
    <w:rsid w:val="003A13CA"/>
    <w:rsid w:val="003A17FF"/>
    <w:rsid w:val="003A1AEA"/>
    <w:rsid w:val="003A1F5A"/>
    <w:rsid w:val="003A231A"/>
    <w:rsid w:val="003A29AD"/>
    <w:rsid w:val="003A2CC8"/>
    <w:rsid w:val="003A3022"/>
    <w:rsid w:val="003A3587"/>
    <w:rsid w:val="003A35A7"/>
    <w:rsid w:val="003A3BED"/>
    <w:rsid w:val="003A3DFE"/>
    <w:rsid w:val="003A415B"/>
    <w:rsid w:val="003A4A22"/>
    <w:rsid w:val="003A4B51"/>
    <w:rsid w:val="003A5721"/>
    <w:rsid w:val="003A5AF1"/>
    <w:rsid w:val="003A5B2A"/>
    <w:rsid w:val="003A683D"/>
    <w:rsid w:val="003B2C69"/>
    <w:rsid w:val="003B2D3A"/>
    <w:rsid w:val="003B301C"/>
    <w:rsid w:val="003B441D"/>
    <w:rsid w:val="003B47FF"/>
    <w:rsid w:val="003B5B43"/>
    <w:rsid w:val="003B60D4"/>
    <w:rsid w:val="003B66A4"/>
    <w:rsid w:val="003B7C61"/>
    <w:rsid w:val="003C0A70"/>
    <w:rsid w:val="003C0F81"/>
    <w:rsid w:val="003C0FDC"/>
    <w:rsid w:val="003C1628"/>
    <w:rsid w:val="003C2B1B"/>
    <w:rsid w:val="003C43EF"/>
    <w:rsid w:val="003C4495"/>
    <w:rsid w:val="003C464D"/>
    <w:rsid w:val="003C4B53"/>
    <w:rsid w:val="003C4FF3"/>
    <w:rsid w:val="003D0406"/>
    <w:rsid w:val="003D20C4"/>
    <w:rsid w:val="003D2B14"/>
    <w:rsid w:val="003D2E4C"/>
    <w:rsid w:val="003D3487"/>
    <w:rsid w:val="003D4133"/>
    <w:rsid w:val="003D4D5B"/>
    <w:rsid w:val="003D4F68"/>
    <w:rsid w:val="003D5900"/>
    <w:rsid w:val="003D68A3"/>
    <w:rsid w:val="003D72A1"/>
    <w:rsid w:val="003D76CD"/>
    <w:rsid w:val="003D7A9E"/>
    <w:rsid w:val="003D7D91"/>
    <w:rsid w:val="003E0F35"/>
    <w:rsid w:val="003E14A9"/>
    <w:rsid w:val="003E1C0A"/>
    <w:rsid w:val="003E22CB"/>
    <w:rsid w:val="003E258F"/>
    <w:rsid w:val="003E3AF4"/>
    <w:rsid w:val="003E3D8A"/>
    <w:rsid w:val="003E3F93"/>
    <w:rsid w:val="003E432A"/>
    <w:rsid w:val="003E44AF"/>
    <w:rsid w:val="003E4568"/>
    <w:rsid w:val="003E54B7"/>
    <w:rsid w:val="003E5FA0"/>
    <w:rsid w:val="003E60F8"/>
    <w:rsid w:val="003E740C"/>
    <w:rsid w:val="003F0F13"/>
    <w:rsid w:val="003F215B"/>
    <w:rsid w:val="003F2CB6"/>
    <w:rsid w:val="003F40BA"/>
    <w:rsid w:val="003F5F7A"/>
    <w:rsid w:val="003F60B5"/>
    <w:rsid w:val="003F6FC9"/>
    <w:rsid w:val="004000E2"/>
    <w:rsid w:val="00400274"/>
    <w:rsid w:val="00400B9A"/>
    <w:rsid w:val="004027AD"/>
    <w:rsid w:val="00403758"/>
    <w:rsid w:val="00403D51"/>
    <w:rsid w:val="00404530"/>
    <w:rsid w:val="00404C37"/>
    <w:rsid w:val="004058BD"/>
    <w:rsid w:val="0040597B"/>
    <w:rsid w:val="0040778D"/>
    <w:rsid w:val="00410A65"/>
    <w:rsid w:val="00413518"/>
    <w:rsid w:val="0041369A"/>
    <w:rsid w:val="0041480C"/>
    <w:rsid w:val="00415254"/>
    <w:rsid w:val="0041625C"/>
    <w:rsid w:val="00416FB6"/>
    <w:rsid w:val="00417339"/>
    <w:rsid w:val="0041739E"/>
    <w:rsid w:val="0041783B"/>
    <w:rsid w:val="004223A6"/>
    <w:rsid w:val="004223F2"/>
    <w:rsid w:val="0042286B"/>
    <w:rsid w:val="00424968"/>
    <w:rsid w:val="00424A45"/>
    <w:rsid w:val="004259F8"/>
    <w:rsid w:val="00427BEE"/>
    <w:rsid w:val="0043271A"/>
    <w:rsid w:val="00432796"/>
    <w:rsid w:val="00432EB4"/>
    <w:rsid w:val="00432F29"/>
    <w:rsid w:val="00434057"/>
    <w:rsid w:val="004349D6"/>
    <w:rsid w:val="00434ED6"/>
    <w:rsid w:val="00435096"/>
    <w:rsid w:val="00435179"/>
    <w:rsid w:val="00435A3B"/>
    <w:rsid w:val="00437EC9"/>
    <w:rsid w:val="0044241B"/>
    <w:rsid w:val="0044261D"/>
    <w:rsid w:val="00443105"/>
    <w:rsid w:val="00443A29"/>
    <w:rsid w:val="00443EE4"/>
    <w:rsid w:val="00444190"/>
    <w:rsid w:val="00444616"/>
    <w:rsid w:val="0044477A"/>
    <w:rsid w:val="004448CA"/>
    <w:rsid w:val="004468BC"/>
    <w:rsid w:val="00447517"/>
    <w:rsid w:val="00450760"/>
    <w:rsid w:val="00450FE7"/>
    <w:rsid w:val="00451AA9"/>
    <w:rsid w:val="00451C8B"/>
    <w:rsid w:val="00452EC7"/>
    <w:rsid w:val="00453175"/>
    <w:rsid w:val="00453780"/>
    <w:rsid w:val="0045398A"/>
    <w:rsid w:val="00453AC7"/>
    <w:rsid w:val="004544E5"/>
    <w:rsid w:val="00455495"/>
    <w:rsid w:val="00455FD2"/>
    <w:rsid w:val="0045736A"/>
    <w:rsid w:val="00460DF1"/>
    <w:rsid w:val="0046179B"/>
    <w:rsid w:val="00461BB7"/>
    <w:rsid w:val="00463CA5"/>
    <w:rsid w:val="00464469"/>
    <w:rsid w:val="00465117"/>
    <w:rsid w:val="0046519F"/>
    <w:rsid w:val="00465236"/>
    <w:rsid w:val="004657FC"/>
    <w:rsid w:val="004665B7"/>
    <w:rsid w:val="0046678C"/>
    <w:rsid w:val="0046760B"/>
    <w:rsid w:val="004702B9"/>
    <w:rsid w:val="00470BB5"/>
    <w:rsid w:val="004718FE"/>
    <w:rsid w:val="00471F93"/>
    <w:rsid w:val="00472F5C"/>
    <w:rsid w:val="00473A67"/>
    <w:rsid w:val="00474956"/>
    <w:rsid w:val="00474B58"/>
    <w:rsid w:val="00474C83"/>
    <w:rsid w:val="00476421"/>
    <w:rsid w:val="00480DA8"/>
    <w:rsid w:val="004829FE"/>
    <w:rsid w:val="00483130"/>
    <w:rsid w:val="00483625"/>
    <w:rsid w:val="004845FB"/>
    <w:rsid w:val="004854F8"/>
    <w:rsid w:val="0048572B"/>
    <w:rsid w:val="004871B3"/>
    <w:rsid w:val="00487807"/>
    <w:rsid w:val="00487944"/>
    <w:rsid w:val="00490153"/>
    <w:rsid w:val="0049116D"/>
    <w:rsid w:val="00491266"/>
    <w:rsid w:val="004914A6"/>
    <w:rsid w:val="00491EC7"/>
    <w:rsid w:val="00492522"/>
    <w:rsid w:val="00492CAF"/>
    <w:rsid w:val="00494561"/>
    <w:rsid w:val="00495006"/>
    <w:rsid w:val="00495A25"/>
    <w:rsid w:val="00495D87"/>
    <w:rsid w:val="00495F6A"/>
    <w:rsid w:val="004963D7"/>
    <w:rsid w:val="00496E0E"/>
    <w:rsid w:val="004978B8"/>
    <w:rsid w:val="004A07BF"/>
    <w:rsid w:val="004A1723"/>
    <w:rsid w:val="004A1D57"/>
    <w:rsid w:val="004A2462"/>
    <w:rsid w:val="004A2A46"/>
    <w:rsid w:val="004A5050"/>
    <w:rsid w:val="004A51EB"/>
    <w:rsid w:val="004A61B9"/>
    <w:rsid w:val="004A6DB8"/>
    <w:rsid w:val="004A7384"/>
    <w:rsid w:val="004A7843"/>
    <w:rsid w:val="004A7D24"/>
    <w:rsid w:val="004A7DCF"/>
    <w:rsid w:val="004B0C5D"/>
    <w:rsid w:val="004B1084"/>
    <w:rsid w:val="004B23A5"/>
    <w:rsid w:val="004B247B"/>
    <w:rsid w:val="004B35BC"/>
    <w:rsid w:val="004B3E8D"/>
    <w:rsid w:val="004B3FD6"/>
    <w:rsid w:val="004B50AE"/>
    <w:rsid w:val="004B5691"/>
    <w:rsid w:val="004B6768"/>
    <w:rsid w:val="004B757F"/>
    <w:rsid w:val="004C0183"/>
    <w:rsid w:val="004C0761"/>
    <w:rsid w:val="004C125A"/>
    <w:rsid w:val="004C1830"/>
    <w:rsid w:val="004C23A2"/>
    <w:rsid w:val="004C2625"/>
    <w:rsid w:val="004C280F"/>
    <w:rsid w:val="004C468D"/>
    <w:rsid w:val="004C554B"/>
    <w:rsid w:val="004C5CFA"/>
    <w:rsid w:val="004C753E"/>
    <w:rsid w:val="004C7780"/>
    <w:rsid w:val="004C7E89"/>
    <w:rsid w:val="004D0293"/>
    <w:rsid w:val="004D06F3"/>
    <w:rsid w:val="004D17F4"/>
    <w:rsid w:val="004D3AE0"/>
    <w:rsid w:val="004D5110"/>
    <w:rsid w:val="004D52DA"/>
    <w:rsid w:val="004D6562"/>
    <w:rsid w:val="004D69FB"/>
    <w:rsid w:val="004E06E9"/>
    <w:rsid w:val="004E0FAB"/>
    <w:rsid w:val="004E2908"/>
    <w:rsid w:val="004E2C11"/>
    <w:rsid w:val="004E2E25"/>
    <w:rsid w:val="004E5ADD"/>
    <w:rsid w:val="004E7119"/>
    <w:rsid w:val="004E7739"/>
    <w:rsid w:val="004E78FE"/>
    <w:rsid w:val="004E7D05"/>
    <w:rsid w:val="004F07E5"/>
    <w:rsid w:val="004F0D4F"/>
    <w:rsid w:val="004F0F57"/>
    <w:rsid w:val="004F201B"/>
    <w:rsid w:val="004F2470"/>
    <w:rsid w:val="004F2C10"/>
    <w:rsid w:val="004F2D29"/>
    <w:rsid w:val="004F38B8"/>
    <w:rsid w:val="004F3C75"/>
    <w:rsid w:val="004F5BD1"/>
    <w:rsid w:val="004F5EFD"/>
    <w:rsid w:val="004F680F"/>
    <w:rsid w:val="004F7A38"/>
    <w:rsid w:val="00500A7D"/>
    <w:rsid w:val="0050137C"/>
    <w:rsid w:val="00502117"/>
    <w:rsid w:val="005038F5"/>
    <w:rsid w:val="00503E6D"/>
    <w:rsid w:val="00503EE0"/>
    <w:rsid w:val="00504EE0"/>
    <w:rsid w:val="0050535B"/>
    <w:rsid w:val="00505EB1"/>
    <w:rsid w:val="00506046"/>
    <w:rsid w:val="005061E3"/>
    <w:rsid w:val="00506CC2"/>
    <w:rsid w:val="005074B6"/>
    <w:rsid w:val="00510478"/>
    <w:rsid w:val="005104BB"/>
    <w:rsid w:val="00511841"/>
    <w:rsid w:val="00511A6D"/>
    <w:rsid w:val="00512001"/>
    <w:rsid w:val="00512153"/>
    <w:rsid w:val="00514468"/>
    <w:rsid w:val="00514DDE"/>
    <w:rsid w:val="00515ECB"/>
    <w:rsid w:val="00516D38"/>
    <w:rsid w:val="00520331"/>
    <w:rsid w:val="00521B6A"/>
    <w:rsid w:val="0052234D"/>
    <w:rsid w:val="00522E82"/>
    <w:rsid w:val="00522EE4"/>
    <w:rsid w:val="005231CD"/>
    <w:rsid w:val="00523217"/>
    <w:rsid w:val="00524632"/>
    <w:rsid w:val="005247F0"/>
    <w:rsid w:val="0052542B"/>
    <w:rsid w:val="00525B92"/>
    <w:rsid w:val="00526159"/>
    <w:rsid w:val="00526D6D"/>
    <w:rsid w:val="00527000"/>
    <w:rsid w:val="00527D19"/>
    <w:rsid w:val="00530312"/>
    <w:rsid w:val="00530783"/>
    <w:rsid w:val="00531B6D"/>
    <w:rsid w:val="005341A3"/>
    <w:rsid w:val="00534D2C"/>
    <w:rsid w:val="00534D81"/>
    <w:rsid w:val="00536B89"/>
    <w:rsid w:val="00536CE1"/>
    <w:rsid w:val="00537533"/>
    <w:rsid w:val="005401AF"/>
    <w:rsid w:val="00540486"/>
    <w:rsid w:val="00540586"/>
    <w:rsid w:val="005417CD"/>
    <w:rsid w:val="00541E39"/>
    <w:rsid w:val="00542D7E"/>
    <w:rsid w:val="00543389"/>
    <w:rsid w:val="005438C6"/>
    <w:rsid w:val="00543C52"/>
    <w:rsid w:val="0054621E"/>
    <w:rsid w:val="00551421"/>
    <w:rsid w:val="00552A9C"/>
    <w:rsid w:val="005535E3"/>
    <w:rsid w:val="00554657"/>
    <w:rsid w:val="00554930"/>
    <w:rsid w:val="00554CC3"/>
    <w:rsid w:val="005552B5"/>
    <w:rsid w:val="00556658"/>
    <w:rsid w:val="00556A53"/>
    <w:rsid w:val="0055774F"/>
    <w:rsid w:val="005578DD"/>
    <w:rsid w:val="00557A3E"/>
    <w:rsid w:val="00557BF4"/>
    <w:rsid w:val="005607C4"/>
    <w:rsid w:val="00560DD5"/>
    <w:rsid w:val="00561036"/>
    <w:rsid w:val="00561A80"/>
    <w:rsid w:val="00562454"/>
    <w:rsid w:val="0056434A"/>
    <w:rsid w:val="005658E2"/>
    <w:rsid w:val="005660B4"/>
    <w:rsid w:val="0056695E"/>
    <w:rsid w:val="00566C96"/>
    <w:rsid w:val="00567818"/>
    <w:rsid w:val="00570790"/>
    <w:rsid w:val="00571641"/>
    <w:rsid w:val="005720BF"/>
    <w:rsid w:val="00572D29"/>
    <w:rsid w:val="00572D3B"/>
    <w:rsid w:val="00572D8A"/>
    <w:rsid w:val="00572E71"/>
    <w:rsid w:val="005736E3"/>
    <w:rsid w:val="00575829"/>
    <w:rsid w:val="00575E1B"/>
    <w:rsid w:val="00576C00"/>
    <w:rsid w:val="00580275"/>
    <w:rsid w:val="005803CD"/>
    <w:rsid w:val="00580A31"/>
    <w:rsid w:val="00580B63"/>
    <w:rsid w:val="005816FC"/>
    <w:rsid w:val="00581866"/>
    <w:rsid w:val="00581869"/>
    <w:rsid w:val="005838F8"/>
    <w:rsid w:val="00583B84"/>
    <w:rsid w:val="00583D2D"/>
    <w:rsid w:val="0058430F"/>
    <w:rsid w:val="00584916"/>
    <w:rsid w:val="00584C2C"/>
    <w:rsid w:val="00584FE1"/>
    <w:rsid w:val="005856C6"/>
    <w:rsid w:val="005861B6"/>
    <w:rsid w:val="00586608"/>
    <w:rsid w:val="00586B6D"/>
    <w:rsid w:val="00587626"/>
    <w:rsid w:val="00587CD5"/>
    <w:rsid w:val="00590360"/>
    <w:rsid w:val="00591721"/>
    <w:rsid w:val="00592064"/>
    <w:rsid w:val="00593262"/>
    <w:rsid w:val="0059365D"/>
    <w:rsid w:val="005943CB"/>
    <w:rsid w:val="00594456"/>
    <w:rsid w:val="00594CB1"/>
    <w:rsid w:val="00594D9A"/>
    <w:rsid w:val="00595261"/>
    <w:rsid w:val="005967C6"/>
    <w:rsid w:val="00596C14"/>
    <w:rsid w:val="00597C59"/>
    <w:rsid w:val="005A031D"/>
    <w:rsid w:val="005A06D4"/>
    <w:rsid w:val="005A0EB6"/>
    <w:rsid w:val="005A0EE0"/>
    <w:rsid w:val="005A160A"/>
    <w:rsid w:val="005A1836"/>
    <w:rsid w:val="005A185B"/>
    <w:rsid w:val="005A2798"/>
    <w:rsid w:val="005A3617"/>
    <w:rsid w:val="005A384F"/>
    <w:rsid w:val="005A56A4"/>
    <w:rsid w:val="005A6341"/>
    <w:rsid w:val="005A6511"/>
    <w:rsid w:val="005A69FA"/>
    <w:rsid w:val="005A6EB7"/>
    <w:rsid w:val="005A7196"/>
    <w:rsid w:val="005A7B5B"/>
    <w:rsid w:val="005A7F8D"/>
    <w:rsid w:val="005B0DB3"/>
    <w:rsid w:val="005B12A5"/>
    <w:rsid w:val="005B1537"/>
    <w:rsid w:val="005B3518"/>
    <w:rsid w:val="005B41CA"/>
    <w:rsid w:val="005B71FB"/>
    <w:rsid w:val="005B7D49"/>
    <w:rsid w:val="005C1603"/>
    <w:rsid w:val="005C1A32"/>
    <w:rsid w:val="005C1B2E"/>
    <w:rsid w:val="005C2650"/>
    <w:rsid w:val="005C2DDC"/>
    <w:rsid w:val="005C52A4"/>
    <w:rsid w:val="005C669F"/>
    <w:rsid w:val="005C6D04"/>
    <w:rsid w:val="005C7953"/>
    <w:rsid w:val="005D0A43"/>
    <w:rsid w:val="005D0D3F"/>
    <w:rsid w:val="005D0FEB"/>
    <w:rsid w:val="005D1004"/>
    <w:rsid w:val="005D112C"/>
    <w:rsid w:val="005D1834"/>
    <w:rsid w:val="005D22ED"/>
    <w:rsid w:val="005D259B"/>
    <w:rsid w:val="005D28B7"/>
    <w:rsid w:val="005D52FB"/>
    <w:rsid w:val="005D53B6"/>
    <w:rsid w:val="005D60AC"/>
    <w:rsid w:val="005D6411"/>
    <w:rsid w:val="005D6D7E"/>
    <w:rsid w:val="005D725E"/>
    <w:rsid w:val="005E1EE9"/>
    <w:rsid w:val="005E3318"/>
    <w:rsid w:val="005E46D8"/>
    <w:rsid w:val="005E4A61"/>
    <w:rsid w:val="005E53B1"/>
    <w:rsid w:val="005E5820"/>
    <w:rsid w:val="005E624A"/>
    <w:rsid w:val="005E6622"/>
    <w:rsid w:val="005E737E"/>
    <w:rsid w:val="005E7F95"/>
    <w:rsid w:val="005F1099"/>
    <w:rsid w:val="005F13D3"/>
    <w:rsid w:val="005F1DA2"/>
    <w:rsid w:val="005F20D3"/>
    <w:rsid w:val="005F2908"/>
    <w:rsid w:val="005F324E"/>
    <w:rsid w:val="005F416C"/>
    <w:rsid w:val="005F4B6C"/>
    <w:rsid w:val="005F4E97"/>
    <w:rsid w:val="005F549F"/>
    <w:rsid w:val="005F6C30"/>
    <w:rsid w:val="005F6F31"/>
    <w:rsid w:val="005F7073"/>
    <w:rsid w:val="005F72BF"/>
    <w:rsid w:val="005F7D60"/>
    <w:rsid w:val="00600D15"/>
    <w:rsid w:val="0060158B"/>
    <w:rsid w:val="00601936"/>
    <w:rsid w:val="00601C4F"/>
    <w:rsid w:val="00601E1D"/>
    <w:rsid w:val="0060228B"/>
    <w:rsid w:val="0060236A"/>
    <w:rsid w:val="00603561"/>
    <w:rsid w:val="00604858"/>
    <w:rsid w:val="006050EE"/>
    <w:rsid w:val="006051A3"/>
    <w:rsid w:val="006053DE"/>
    <w:rsid w:val="00605533"/>
    <w:rsid w:val="00605D9E"/>
    <w:rsid w:val="0060618D"/>
    <w:rsid w:val="00611099"/>
    <w:rsid w:val="00612499"/>
    <w:rsid w:val="0061254A"/>
    <w:rsid w:val="00612D8D"/>
    <w:rsid w:val="00613474"/>
    <w:rsid w:val="00614694"/>
    <w:rsid w:val="00614724"/>
    <w:rsid w:val="0061511E"/>
    <w:rsid w:val="0061554A"/>
    <w:rsid w:val="00615EB2"/>
    <w:rsid w:val="00616684"/>
    <w:rsid w:val="0061704B"/>
    <w:rsid w:val="00617974"/>
    <w:rsid w:val="006206BB"/>
    <w:rsid w:val="00620858"/>
    <w:rsid w:val="00621192"/>
    <w:rsid w:val="006211BC"/>
    <w:rsid w:val="00621F61"/>
    <w:rsid w:val="00621FB7"/>
    <w:rsid w:val="006222B0"/>
    <w:rsid w:val="00622F8D"/>
    <w:rsid w:val="00624399"/>
    <w:rsid w:val="00624D12"/>
    <w:rsid w:val="006250FB"/>
    <w:rsid w:val="00626214"/>
    <w:rsid w:val="00626273"/>
    <w:rsid w:val="00626D6A"/>
    <w:rsid w:val="00626E96"/>
    <w:rsid w:val="006274A4"/>
    <w:rsid w:val="006278C0"/>
    <w:rsid w:val="00630290"/>
    <w:rsid w:val="00631481"/>
    <w:rsid w:val="00631D7F"/>
    <w:rsid w:val="00631E30"/>
    <w:rsid w:val="00632E3D"/>
    <w:rsid w:val="00633253"/>
    <w:rsid w:val="006343B2"/>
    <w:rsid w:val="00634663"/>
    <w:rsid w:val="00634978"/>
    <w:rsid w:val="00634D6A"/>
    <w:rsid w:val="00634F83"/>
    <w:rsid w:val="00635656"/>
    <w:rsid w:val="00635C86"/>
    <w:rsid w:val="00636196"/>
    <w:rsid w:val="00637636"/>
    <w:rsid w:val="00637A2D"/>
    <w:rsid w:val="00640D75"/>
    <w:rsid w:val="00641878"/>
    <w:rsid w:val="00644A8B"/>
    <w:rsid w:val="00645C20"/>
    <w:rsid w:val="006475EF"/>
    <w:rsid w:val="00647A68"/>
    <w:rsid w:val="00647D86"/>
    <w:rsid w:val="00652006"/>
    <w:rsid w:val="0065246C"/>
    <w:rsid w:val="00654D27"/>
    <w:rsid w:val="00654F15"/>
    <w:rsid w:val="0065549B"/>
    <w:rsid w:val="00662459"/>
    <w:rsid w:val="006637A3"/>
    <w:rsid w:val="006651FC"/>
    <w:rsid w:val="00665241"/>
    <w:rsid w:val="00665277"/>
    <w:rsid w:val="006655A4"/>
    <w:rsid w:val="0066565D"/>
    <w:rsid w:val="0066591D"/>
    <w:rsid w:val="006664DF"/>
    <w:rsid w:val="00667667"/>
    <w:rsid w:val="00667719"/>
    <w:rsid w:val="00671C60"/>
    <w:rsid w:val="00672625"/>
    <w:rsid w:val="00672E7A"/>
    <w:rsid w:val="006736BE"/>
    <w:rsid w:val="006736ED"/>
    <w:rsid w:val="00673CDD"/>
    <w:rsid w:val="00673DC6"/>
    <w:rsid w:val="00674568"/>
    <w:rsid w:val="00674C23"/>
    <w:rsid w:val="00674FE7"/>
    <w:rsid w:val="00675241"/>
    <w:rsid w:val="00676FF0"/>
    <w:rsid w:val="00677C85"/>
    <w:rsid w:val="00680748"/>
    <w:rsid w:val="00680AF7"/>
    <w:rsid w:val="006817C2"/>
    <w:rsid w:val="00681CD4"/>
    <w:rsid w:val="0068211C"/>
    <w:rsid w:val="0068250F"/>
    <w:rsid w:val="006827E4"/>
    <w:rsid w:val="00684BBD"/>
    <w:rsid w:val="006851AB"/>
    <w:rsid w:val="006867F9"/>
    <w:rsid w:val="00686948"/>
    <w:rsid w:val="00690452"/>
    <w:rsid w:val="00691CC4"/>
    <w:rsid w:val="0069273F"/>
    <w:rsid w:val="00692867"/>
    <w:rsid w:val="00692971"/>
    <w:rsid w:val="00693BED"/>
    <w:rsid w:val="006942F4"/>
    <w:rsid w:val="006950B9"/>
    <w:rsid w:val="00695779"/>
    <w:rsid w:val="00695965"/>
    <w:rsid w:val="006960B5"/>
    <w:rsid w:val="00696F1E"/>
    <w:rsid w:val="0069790B"/>
    <w:rsid w:val="006A1B9F"/>
    <w:rsid w:val="006A1FCD"/>
    <w:rsid w:val="006A3251"/>
    <w:rsid w:val="006A3E2C"/>
    <w:rsid w:val="006A3F90"/>
    <w:rsid w:val="006A58A8"/>
    <w:rsid w:val="006A5CF6"/>
    <w:rsid w:val="006A6965"/>
    <w:rsid w:val="006A7B8B"/>
    <w:rsid w:val="006B04CE"/>
    <w:rsid w:val="006B11BE"/>
    <w:rsid w:val="006B17E1"/>
    <w:rsid w:val="006B241D"/>
    <w:rsid w:val="006B2F5F"/>
    <w:rsid w:val="006B3540"/>
    <w:rsid w:val="006B37EE"/>
    <w:rsid w:val="006B4C68"/>
    <w:rsid w:val="006B4F1A"/>
    <w:rsid w:val="006B53E2"/>
    <w:rsid w:val="006B5478"/>
    <w:rsid w:val="006B57DD"/>
    <w:rsid w:val="006C0080"/>
    <w:rsid w:val="006C06FE"/>
    <w:rsid w:val="006C098C"/>
    <w:rsid w:val="006C1381"/>
    <w:rsid w:val="006C13A0"/>
    <w:rsid w:val="006C1C1B"/>
    <w:rsid w:val="006C1DD6"/>
    <w:rsid w:val="006C21D4"/>
    <w:rsid w:val="006C339E"/>
    <w:rsid w:val="006C346C"/>
    <w:rsid w:val="006C3518"/>
    <w:rsid w:val="006C3FD7"/>
    <w:rsid w:val="006C44E9"/>
    <w:rsid w:val="006C450A"/>
    <w:rsid w:val="006C4C77"/>
    <w:rsid w:val="006C7539"/>
    <w:rsid w:val="006C7D23"/>
    <w:rsid w:val="006D1886"/>
    <w:rsid w:val="006D1BF1"/>
    <w:rsid w:val="006D2513"/>
    <w:rsid w:val="006D34BA"/>
    <w:rsid w:val="006D3F29"/>
    <w:rsid w:val="006D3FDB"/>
    <w:rsid w:val="006D4845"/>
    <w:rsid w:val="006D658C"/>
    <w:rsid w:val="006D66BB"/>
    <w:rsid w:val="006D77EE"/>
    <w:rsid w:val="006E0491"/>
    <w:rsid w:val="006E0BAE"/>
    <w:rsid w:val="006E25C5"/>
    <w:rsid w:val="006E282A"/>
    <w:rsid w:val="006E2DE3"/>
    <w:rsid w:val="006E3482"/>
    <w:rsid w:val="006E492F"/>
    <w:rsid w:val="006E4DEC"/>
    <w:rsid w:val="006E59A3"/>
    <w:rsid w:val="006E59B8"/>
    <w:rsid w:val="006E5D40"/>
    <w:rsid w:val="006E5F96"/>
    <w:rsid w:val="006E61CE"/>
    <w:rsid w:val="006E6502"/>
    <w:rsid w:val="006E6627"/>
    <w:rsid w:val="006E67EA"/>
    <w:rsid w:val="006F0A51"/>
    <w:rsid w:val="006F183C"/>
    <w:rsid w:val="006F1FDC"/>
    <w:rsid w:val="006F2050"/>
    <w:rsid w:val="006F255E"/>
    <w:rsid w:val="006F3543"/>
    <w:rsid w:val="006F354E"/>
    <w:rsid w:val="006F380D"/>
    <w:rsid w:val="006F3D64"/>
    <w:rsid w:val="006F48F8"/>
    <w:rsid w:val="006F4968"/>
    <w:rsid w:val="006F5D4E"/>
    <w:rsid w:val="006F647A"/>
    <w:rsid w:val="006F746C"/>
    <w:rsid w:val="006F7A4C"/>
    <w:rsid w:val="00700561"/>
    <w:rsid w:val="00700B1B"/>
    <w:rsid w:val="00700BA1"/>
    <w:rsid w:val="00701975"/>
    <w:rsid w:val="00702AC5"/>
    <w:rsid w:val="00703235"/>
    <w:rsid w:val="007045E2"/>
    <w:rsid w:val="00704607"/>
    <w:rsid w:val="0070462F"/>
    <w:rsid w:val="00704FE4"/>
    <w:rsid w:val="0070524C"/>
    <w:rsid w:val="00705A88"/>
    <w:rsid w:val="00705DFE"/>
    <w:rsid w:val="00707122"/>
    <w:rsid w:val="0070784B"/>
    <w:rsid w:val="00707BA0"/>
    <w:rsid w:val="00707C10"/>
    <w:rsid w:val="00710B02"/>
    <w:rsid w:val="007117C0"/>
    <w:rsid w:val="00713DB8"/>
    <w:rsid w:val="00715B36"/>
    <w:rsid w:val="00715FD9"/>
    <w:rsid w:val="007164AA"/>
    <w:rsid w:val="007172F1"/>
    <w:rsid w:val="00720386"/>
    <w:rsid w:val="00720AF1"/>
    <w:rsid w:val="00720EDD"/>
    <w:rsid w:val="0072118D"/>
    <w:rsid w:val="00721618"/>
    <w:rsid w:val="00721913"/>
    <w:rsid w:val="00721B86"/>
    <w:rsid w:val="00721F36"/>
    <w:rsid w:val="00722326"/>
    <w:rsid w:val="00722B5D"/>
    <w:rsid w:val="0072452E"/>
    <w:rsid w:val="00725EA1"/>
    <w:rsid w:val="00726916"/>
    <w:rsid w:val="00726A4A"/>
    <w:rsid w:val="0072704E"/>
    <w:rsid w:val="007333B9"/>
    <w:rsid w:val="0073427D"/>
    <w:rsid w:val="0073540A"/>
    <w:rsid w:val="00736BFB"/>
    <w:rsid w:val="007376E3"/>
    <w:rsid w:val="007412C3"/>
    <w:rsid w:val="0074344B"/>
    <w:rsid w:val="00743C0E"/>
    <w:rsid w:val="00743CA8"/>
    <w:rsid w:val="007441C5"/>
    <w:rsid w:val="007444F7"/>
    <w:rsid w:val="007459B8"/>
    <w:rsid w:val="00745E9A"/>
    <w:rsid w:val="00746C78"/>
    <w:rsid w:val="0075079F"/>
    <w:rsid w:val="00750EA1"/>
    <w:rsid w:val="00752140"/>
    <w:rsid w:val="00752484"/>
    <w:rsid w:val="007543F0"/>
    <w:rsid w:val="007575E9"/>
    <w:rsid w:val="007577DC"/>
    <w:rsid w:val="00761333"/>
    <w:rsid w:val="0076214F"/>
    <w:rsid w:val="00764377"/>
    <w:rsid w:val="007649B9"/>
    <w:rsid w:val="00765FC2"/>
    <w:rsid w:val="00770964"/>
    <w:rsid w:val="00770B75"/>
    <w:rsid w:val="007714FF"/>
    <w:rsid w:val="00771668"/>
    <w:rsid w:val="007724C7"/>
    <w:rsid w:val="00772BE1"/>
    <w:rsid w:val="007730F1"/>
    <w:rsid w:val="007737B6"/>
    <w:rsid w:val="00774AF0"/>
    <w:rsid w:val="00774F22"/>
    <w:rsid w:val="00782307"/>
    <w:rsid w:val="00782C5C"/>
    <w:rsid w:val="00782F74"/>
    <w:rsid w:val="007830A6"/>
    <w:rsid w:val="00783551"/>
    <w:rsid w:val="00783770"/>
    <w:rsid w:val="0078387B"/>
    <w:rsid w:val="0078433A"/>
    <w:rsid w:val="00784F23"/>
    <w:rsid w:val="007851FC"/>
    <w:rsid w:val="007855EA"/>
    <w:rsid w:val="0078560A"/>
    <w:rsid w:val="00785BF8"/>
    <w:rsid w:val="00786635"/>
    <w:rsid w:val="00787012"/>
    <w:rsid w:val="00787544"/>
    <w:rsid w:val="007907EB"/>
    <w:rsid w:val="0079080B"/>
    <w:rsid w:val="00790C9D"/>
    <w:rsid w:val="00790CB6"/>
    <w:rsid w:val="00791DCE"/>
    <w:rsid w:val="0079226E"/>
    <w:rsid w:val="00793648"/>
    <w:rsid w:val="007937BB"/>
    <w:rsid w:val="00793C28"/>
    <w:rsid w:val="00794935"/>
    <w:rsid w:val="00796760"/>
    <w:rsid w:val="00796975"/>
    <w:rsid w:val="007972CE"/>
    <w:rsid w:val="007974CF"/>
    <w:rsid w:val="007A05ED"/>
    <w:rsid w:val="007A15DB"/>
    <w:rsid w:val="007A1CE2"/>
    <w:rsid w:val="007A45CE"/>
    <w:rsid w:val="007A55B0"/>
    <w:rsid w:val="007A65AE"/>
    <w:rsid w:val="007A678D"/>
    <w:rsid w:val="007A6A94"/>
    <w:rsid w:val="007A6C54"/>
    <w:rsid w:val="007A6E48"/>
    <w:rsid w:val="007A705F"/>
    <w:rsid w:val="007A78FE"/>
    <w:rsid w:val="007B0187"/>
    <w:rsid w:val="007B07C9"/>
    <w:rsid w:val="007B0DDC"/>
    <w:rsid w:val="007B11DD"/>
    <w:rsid w:val="007B153F"/>
    <w:rsid w:val="007B2073"/>
    <w:rsid w:val="007B24CD"/>
    <w:rsid w:val="007B262D"/>
    <w:rsid w:val="007B4A55"/>
    <w:rsid w:val="007B5415"/>
    <w:rsid w:val="007B5418"/>
    <w:rsid w:val="007B5AA6"/>
    <w:rsid w:val="007C0902"/>
    <w:rsid w:val="007C0E6F"/>
    <w:rsid w:val="007C1F3E"/>
    <w:rsid w:val="007C2B34"/>
    <w:rsid w:val="007C3890"/>
    <w:rsid w:val="007C3E50"/>
    <w:rsid w:val="007C3F92"/>
    <w:rsid w:val="007C4B20"/>
    <w:rsid w:val="007C62EF"/>
    <w:rsid w:val="007C709C"/>
    <w:rsid w:val="007C7F32"/>
    <w:rsid w:val="007D0172"/>
    <w:rsid w:val="007D0449"/>
    <w:rsid w:val="007D0F81"/>
    <w:rsid w:val="007D1BA4"/>
    <w:rsid w:val="007D2AAE"/>
    <w:rsid w:val="007D2C27"/>
    <w:rsid w:val="007D407D"/>
    <w:rsid w:val="007D4512"/>
    <w:rsid w:val="007D670D"/>
    <w:rsid w:val="007D7A92"/>
    <w:rsid w:val="007D7EA9"/>
    <w:rsid w:val="007E06DB"/>
    <w:rsid w:val="007E2855"/>
    <w:rsid w:val="007E3C8A"/>
    <w:rsid w:val="007E3F10"/>
    <w:rsid w:val="007E4610"/>
    <w:rsid w:val="007E7D06"/>
    <w:rsid w:val="007F0B07"/>
    <w:rsid w:val="007F0D98"/>
    <w:rsid w:val="007F0F2B"/>
    <w:rsid w:val="007F1CE6"/>
    <w:rsid w:val="007F2E0A"/>
    <w:rsid w:val="007F4762"/>
    <w:rsid w:val="007F47D9"/>
    <w:rsid w:val="007F5A9C"/>
    <w:rsid w:val="007F6698"/>
    <w:rsid w:val="007F6A7A"/>
    <w:rsid w:val="007F78B0"/>
    <w:rsid w:val="007F7C1B"/>
    <w:rsid w:val="007F7C6E"/>
    <w:rsid w:val="007F7CEF"/>
    <w:rsid w:val="0080044F"/>
    <w:rsid w:val="00800C2E"/>
    <w:rsid w:val="00802DDE"/>
    <w:rsid w:val="008032DD"/>
    <w:rsid w:val="0080435B"/>
    <w:rsid w:val="008052B0"/>
    <w:rsid w:val="00805D85"/>
    <w:rsid w:val="00806546"/>
    <w:rsid w:val="008073C7"/>
    <w:rsid w:val="00807513"/>
    <w:rsid w:val="00807953"/>
    <w:rsid w:val="008108A4"/>
    <w:rsid w:val="008108BA"/>
    <w:rsid w:val="00810DB9"/>
    <w:rsid w:val="008138BD"/>
    <w:rsid w:val="00813FDE"/>
    <w:rsid w:val="008147E7"/>
    <w:rsid w:val="00814A8E"/>
    <w:rsid w:val="00815199"/>
    <w:rsid w:val="008151AF"/>
    <w:rsid w:val="008159B5"/>
    <w:rsid w:val="00815E6F"/>
    <w:rsid w:val="00817315"/>
    <w:rsid w:val="0081738B"/>
    <w:rsid w:val="0082146C"/>
    <w:rsid w:val="008217FB"/>
    <w:rsid w:val="00821E01"/>
    <w:rsid w:val="008225C9"/>
    <w:rsid w:val="00822631"/>
    <w:rsid w:val="00822A57"/>
    <w:rsid w:val="008234B0"/>
    <w:rsid w:val="00823521"/>
    <w:rsid w:val="00824CBF"/>
    <w:rsid w:val="008254AA"/>
    <w:rsid w:val="00825F93"/>
    <w:rsid w:val="00826653"/>
    <w:rsid w:val="008268B2"/>
    <w:rsid w:val="00827DE9"/>
    <w:rsid w:val="00831E60"/>
    <w:rsid w:val="00832487"/>
    <w:rsid w:val="00834016"/>
    <w:rsid w:val="00834183"/>
    <w:rsid w:val="008348E4"/>
    <w:rsid w:val="0083498B"/>
    <w:rsid w:val="00834D1A"/>
    <w:rsid w:val="008351EE"/>
    <w:rsid w:val="00836007"/>
    <w:rsid w:val="008409DA"/>
    <w:rsid w:val="00841729"/>
    <w:rsid w:val="00841AD3"/>
    <w:rsid w:val="008425D0"/>
    <w:rsid w:val="0084334C"/>
    <w:rsid w:val="00843642"/>
    <w:rsid w:val="00843AAA"/>
    <w:rsid w:val="00843E58"/>
    <w:rsid w:val="0084478E"/>
    <w:rsid w:val="00844A61"/>
    <w:rsid w:val="00844CC9"/>
    <w:rsid w:val="008457F6"/>
    <w:rsid w:val="00845FD1"/>
    <w:rsid w:val="0085019A"/>
    <w:rsid w:val="00850C1C"/>
    <w:rsid w:val="00851368"/>
    <w:rsid w:val="00851AD2"/>
    <w:rsid w:val="00851E89"/>
    <w:rsid w:val="00851F26"/>
    <w:rsid w:val="00852869"/>
    <w:rsid w:val="00854867"/>
    <w:rsid w:val="00856274"/>
    <w:rsid w:val="00856558"/>
    <w:rsid w:val="00856DB6"/>
    <w:rsid w:val="008572F7"/>
    <w:rsid w:val="008573DE"/>
    <w:rsid w:val="00857457"/>
    <w:rsid w:val="0085753E"/>
    <w:rsid w:val="00857F56"/>
    <w:rsid w:val="0086024D"/>
    <w:rsid w:val="00860487"/>
    <w:rsid w:val="008606E9"/>
    <w:rsid w:val="00860CD7"/>
    <w:rsid w:val="00860E0D"/>
    <w:rsid w:val="008613B8"/>
    <w:rsid w:val="00862699"/>
    <w:rsid w:val="0086339E"/>
    <w:rsid w:val="008642E9"/>
    <w:rsid w:val="00864921"/>
    <w:rsid w:val="00865026"/>
    <w:rsid w:val="00865EE4"/>
    <w:rsid w:val="0086664F"/>
    <w:rsid w:val="00866BFC"/>
    <w:rsid w:val="0086736A"/>
    <w:rsid w:val="008674B6"/>
    <w:rsid w:val="008676F3"/>
    <w:rsid w:val="00871B14"/>
    <w:rsid w:val="00871F8E"/>
    <w:rsid w:val="008721DD"/>
    <w:rsid w:val="00872276"/>
    <w:rsid w:val="00872E44"/>
    <w:rsid w:val="00873017"/>
    <w:rsid w:val="00873C21"/>
    <w:rsid w:val="00873F89"/>
    <w:rsid w:val="008740E2"/>
    <w:rsid w:val="0087484E"/>
    <w:rsid w:val="00876268"/>
    <w:rsid w:val="008767E4"/>
    <w:rsid w:val="0087683D"/>
    <w:rsid w:val="00877121"/>
    <w:rsid w:val="00880A26"/>
    <w:rsid w:val="00880BFC"/>
    <w:rsid w:val="00881271"/>
    <w:rsid w:val="00881B97"/>
    <w:rsid w:val="00881FC6"/>
    <w:rsid w:val="00882C99"/>
    <w:rsid w:val="00883945"/>
    <w:rsid w:val="008843C0"/>
    <w:rsid w:val="0088570E"/>
    <w:rsid w:val="00885AEF"/>
    <w:rsid w:val="008871BE"/>
    <w:rsid w:val="00887B72"/>
    <w:rsid w:val="00887F56"/>
    <w:rsid w:val="008909A1"/>
    <w:rsid w:val="00890DB2"/>
    <w:rsid w:val="008923D0"/>
    <w:rsid w:val="0089240C"/>
    <w:rsid w:val="00892B7E"/>
    <w:rsid w:val="00892D09"/>
    <w:rsid w:val="008932FD"/>
    <w:rsid w:val="00893675"/>
    <w:rsid w:val="00894407"/>
    <w:rsid w:val="00894F96"/>
    <w:rsid w:val="00895AC4"/>
    <w:rsid w:val="00895AF0"/>
    <w:rsid w:val="00895C97"/>
    <w:rsid w:val="0089639D"/>
    <w:rsid w:val="00896D79"/>
    <w:rsid w:val="00897D59"/>
    <w:rsid w:val="008A005F"/>
    <w:rsid w:val="008A0076"/>
    <w:rsid w:val="008A159B"/>
    <w:rsid w:val="008A16BE"/>
    <w:rsid w:val="008A1B0E"/>
    <w:rsid w:val="008A1B54"/>
    <w:rsid w:val="008A1DE9"/>
    <w:rsid w:val="008A401F"/>
    <w:rsid w:val="008A5A76"/>
    <w:rsid w:val="008A689A"/>
    <w:rsid w:val="008A6E06"/>
    <w:rsid w:val="008B2863"/>
    <w:rsid w:val="008B2D5E"/>
    <w:rsid w:val="008B37DF"/>
    <w:rsid w:val="008B520B"/>
    <w:rsid w:val="008B564C"/>
    <w:rsid w:val="008B660A"/>
    <w:rsid w:val="008B6AC5"/>
    <w:rsid w:val="008B6E72"/>
    <w:rsid w:val="008B7F12"/>
    <w:rsid w:val="008C0CA6"/>
    <w:rsid w:val="008C0E21"/>
    <w:rsid w:val="008C119F"/>
    <w:rsid w:val="008C1CF8"/>
    <w:rsid w:val="008C1F4A"/>
    <w:rsid w:val="008C2A67"/>
    <w:rsid w:val="008C3587"/>
    <w:rsid w:val="008C45E1"/>
    <w:rsid w:val="008D0D8C"/>
    <w:rsid w:val="008D11E6"/>
    <w:rsid w:val="008D1C11"/>
    <w:rsid w:val="008D2D6C"/>
    <w:rsid w:val="008D3839"/>
    <w:rsid w:val="008D3A4A"/>
    <w:rsid w:val="008D3AE4"/>
    <w:rsid w:val="008D4009"/>
    <w:rsid w:val="008D4015"/>
    <w:rsid w:val="008D41ED"/>
    <w:rsid w:val="008D4571"/>
    <w:rsid w:val="008D4DCD"/>
    <w:rsid w:val="008D4E10"/>
    <w:rsid w:val="008D5677"/>
    <w:rsid w:val="008D6489"/>
    <w:rsid w:val="008D6C90"/>
    <w:rsid w:val="008D7010"/>
    <w:rsid w:val="008D7025"/>
    <w:rsid w:val="008D7C99"/>
    <w:rsid w:val="008D7F12"/>
    <w:rsid w:val="008D7F92"/>
    <w:rsid w:val="008E0238"/>
    <w:rsid w:val="008E1598"/>
    <w:rsid w:val="008E166F"/>
    <w:rsid w:val="008E2041"/>
    <w:rsid w:val="008E3695"/>
    <w:rsid w:val="008E4093"/>
    <w:rsid w:val="008E4468"/>
    <w:rsid w:val="008E4DEC"/>
    <w:rsid w:val="008E4F2B"/>
    <w:rsid w:val="008E55AE"/>
    <w:rsid w:val="008E663F"/>
    <w:rsid w:val="008E67CE"/>
    <w:rsid w:val="008E6929"/>
    <w:rsid w:val="008E69BF"/>
    <w:rsid w:val="008E7DE7"/>
    <w:rsid w:val="008F0AA3"/>
    <w:rsid w:val="008F0ABB"/>
    <w:rsid w:val="008F1200"/>
    <w:rsid w:val="008F1C35"/>
    <w:rsid w:val="008F1EF5"/>
    <w:rsid w:val="008F356B"/>
    <w:rsid w:val="008F38C7"/>
    <w:rsid w:val="008F3C4D"/>
    <w:rsid w:val="008F7446"/>
    <w:rsid w:val="008F760B"/>
    <w:rsid w:val="00900412"/>
    <w:rsid w:val="00900C1A"/>
    <w:rsid w:val="00901958"/>
    <w:rsid w:val="00901D10"/>
    <w:rsid w:val="00902079"/>
    <w:rsid w:val="009024D6"/>
    <w:rsid w:val="009032EB"/>
    <w:rsid w:val="009041C1"/>
    <w:rsid w:val="009051CC"/>
    <w:rsid w:val="009052FB"/>
    <w:rsid w:val="00905804"/>
    <w:rsid w:val="00906533"/>
    <w:rsid w:val="00906BA4"/>
    <w:rsid w:val="009070F0"/>
    <w:rsid w:val="00910F15"/>
    <w:rsid w:val="0091110C"/>
    <w:rsid w:val="00911647"/>
    <w:rsid w:val="00912E97"/>
    <w:rsid w:val="0091372C"/>
    <w:rsid w:val="0091565C"/>
    <w:rsid w:val="00915A66"/>
    <w:rsid w:val="00915D04"/>
    <w:rsid w:val="00915EEF"/>
    <w:rsid w:val="009170F7"/>
    <w:rsid w:val="00920686"/>
    <w:rsid w:val="0092157F"/>
    <w:rsid w:val="00921681"/>
    <w:rsid w:val="00921962"/>
    <w:rsid w:val="00921EC0"/>
    <w:rsid w:val="00922425"/>
    <w:rsid w:val="009236D4"/>
    <w:rsid w:val="00926242"/>
    <w:rsid w:val="009273EC"/>
    <w:rsid w:val="009312F8"/>
    <w:rsid w:val="00931305"/>
    <w:rsid w:val="00931A6A"/>
    <w:rsid w:val="009320FA"/>
    <w:rsid w:val="0093363E"/>
    <w:rsid w:val="009347AE"/>
    <w:rsid w:val="00934B2D"/>
    <w:rsid w:val="00936291"/>
    <w:rsid w:val="009367E2"/>
    <w:rsid w:val="0093722E"/>
    <w:rsid w:val="00937495"/>
    <w:rsid w:val="00937828"/>
    <w:rsid w:val="00937EDF"/>
    <w:rsid w:val="00937F69"/>
    <w:rsid w:val="0094019D"/>
    <w:rsid w:val="00940E1A"/>
    <w:rsid w:val="0094223C"/>
    <w:rsid w:val="00942F2E"/>
    <w:rsid w:val="00944F98"/>
    <w:rsid w:val="00945544"/>
    <w:rsid w:val="00945A9B"/>
    <w:rsid w:val="00945C87"/>
    <w:rsid w:val="00947968"/>
    <w:rsid w:val="009507EE"/>
    <w:rsid w:val="009509E9"/>
    <w:rsid w:val="00950C03"/>
    <w:rsid w:val="00951854"/>
    <w:rsid w:val="00951EEA"/>
    <w:rsid w:val="009523EE"/>
    <w:rsid w:val="009525E5"/>
    <w:rsid w:val="00952A72"/>
    <w:rsid w:val="00952BE2"/>
    <w:rsid w:val="00954AEB"/>
    <w:rsid w:val="00955FBB"/>
    <w:rsid w:val="00956692"/>
    <w:rsid w:val="009574D8"/>
    <w:rsid w:val="00957DF4"/>
    <w:rsid w:val="00960852"/>
    <w:rsid w:val="00960C1E"/>
    <w:rsid w:val="00960E2D"/>
    <w:rsid w:val="00961036"/>
    <w:rsid w:val="00962215"/>
    <w:rsid w:val="009623C7"/>
    <w:rsid w:val="00964535"/>
    <w:rsid w:val="00966717"/>
    <w:rsid w:val="009672A3"/>
    <w:rsid w:val="00967B0F"/>
    <w:rsid w:val="00967B27"/>
    <w:rsid w:val="00967B39"/>
    <w:rsid w:val="00970347"/>
    <w:rsid w:val="009704E5"/>
    <w:rsid w:val="009707C5"/>
    <w:rsid w:val="00970E29"/>
    <w:rsid w:val="00972F5C"/>
    <w:rsid w:val="00972FCE"/>
    <w:rsid w:val="009735E6"/>
    <w:rsid w:val="0097365F"/>
    <w:rsid w:val="00973B58"/>
    <w:rsid w:val="00973DB7"/>
    <w:rsid w:val="009745FE"/>
    <w:rsid w:val="00975B3E"/>
    <w:rsid w:val="00975EE0"/>
    <w:rsid w:val="00976110"/>
    <w:rsid w:val="00977A94"/>
    <w:rsid w:val="009813A9"/>
    <w:rsid w:val="009815CD"/>
    <w:rsid w:val="009816AF"/>
    <w:rsid w:val="0098193C"/>
    <w:rsid w:val="00981EAD"/>
    <w:rsid w:val="00981EBA"/>
    <w:rsid w:val="0098301A"/>
    <w:rsid w:val="00983E59"/>
    <w:rsid w:val="00984DC8"/>
    <w:rsid w:val="009852AA"/>
    <w:rsid w:val="009852B1"/>
    <w:rsid w:val="00986676"/>
    <w:rsid w:val="0098781B"/>
    <w:rsid w:val="0099006D"/>
    <w:rsid w:val="00992A51"/>
    <w:rsid w:val="00994972"/>
    <w:rsid w:val="00994A3F"/>
    <w:rsid w:val="00994DDF"/>
    <w:rsid w:val="00994EB9"/>
    <w:rsid w:val="00995920"/>
    <w:rsid w:val="00995FE2"/>
    <w:rsid w:val="00996B5E"/>
    <w:rsid w:val="00996E99"/>
    <w:rsid w:val="00996F71"/>
    <w:rsid w:val="009978A4"/>
    <w:rsid w:val="009A01DB"/>
    <w:rsid w:val="009A0424"/>
    <w:rsid w:val="009A2576"/>
    <w:rsid w:val="009A2FD9"/>
    <w:rsid w:val="009A300E"/>
    <w:rsid w:val="009A38B6"/>
    <w:rsid w:val="009A59F3"/>
    <w:rsid w:val="009A63B9"/>
    <w:rsid w:val="009A68A0"/>
    <w:rsid w:val="009A741B"/>
    <w:rsid w:val="009B202B"/>
    <w:rsid w:val="009B30B6"/>
    <w:rsid w:val="009B3B58"/>
    <w:rsid w:val="009B3C01"/>
    <w:rsid w:val="009B42BB"/>
    <w:rsid w:val="009B4623"/>
    <w:rsid w:val="009B4A40"/>
    <w:rsid w:val="009B5248"/>
    <w:rsid w:val="009B5E8F"/>
    <w:rsid w:val="009B68BF"/>
    <w:rsid w:val="009B6C74"/>
    <w:rsid w:val="009B73F1"/>
    <w:rsid w:val="009B7BF3"/>
    <w:rsid w:val="009C0F54"/>
    <w:rsid w:val="009C2327"/>
    <w:rsid w:val="009C34FD"/>
    <w:rsid w:val="009C50F0"/>
    <w:rsid w:val="009C5181"/>
    <w:rsid w:val="009C6626"/>
    <w:rsid w:val="009C72D3"/>
    <w:rsid w:val="009C7430"/>
    <w:rsid w:val="009D045B"/>
    <w:rsid w:val="009D05DF"/>
    <w:rsid w:val="009D1AE9"/>
    <w:rsid w:val="009D2206"/>
    <w:rsid w:val="009D325B"/>
    <w:rsid w:val="009D36DA"/>
    <w:rsid w:val="009D3BAC"/>
    <w:rsid w:val="009D3C8E"/>
    <w:rsid w:val="009D443D"/>
    <w:rsid w:val="009D4FE9"/>
    <w:rsid w:val="009D594F"/>
    <w:rsid w:val="009D624F"/>
    <w:rsid w:val="009D694A"/>
    <w:rsid w:val="009D7E6C"/>
    <w:rsid w:val="009E077F"/>
    <w:rsid w:val="009E0C7F"/>
    <w:rsid w:val="009E1997"/>
    <w:rsid w:val="009E1CE8"/>
    <w:rsid w:val="009E3539"/>
    <w:rsid w:val="009E4092"/>
    <w:rsid w:val="009E4956"/>
    <w:rsid w:val="009E55FA"/>
    <w:rsid w:val="009E65DD"/>
    <w:rsid w:val="009F1D78"/>
    <w:rsid w:val="009F2698"/>
    <w:rsid w:val="009F2716"/>
    <w:rsid w:val="009F2DBE"/>
    <w:rsid w:val="009F360C"/>
    <w:rsid w:val="009F3CD6"/>
    <w:rsid w:val="009F3D34"/>
    <w:rsid w:val="009F4D80"/>
    <w:rsid w:val="009F4FB2"/>
    <w:rsid w:val="009F5289"/>
    <w:rsid w:val="009F5514"/>
    <w:rsid w:val="009F665C"/>
    <w:rsid w:val="009F7ECF"/>
    <w:rsid w:val="00A0023F"/>
    <w:rsid w:val="00A015E5"/>
    <w:rsid w:val="00A0185C"/>
    <w:rsid w:val="00A01D56"/>
    <w:rsid w:val="00A03E20"/>
    <w:rsid w:val="00A040C3"/>
    <w:rsid w:val="00A042C1"/>
    <w:rsid w:val="00A048BC"/>
    <w:rsid w:val="00A06651"/>
    <w:rsid w:val="00A07979"/>
    <w:rsid w:val="00A10DCB"/>
    <w:rsid w:val="00A11AAE"/>
    <w:rsid w:val="00A11F5B"/>
    <w:rsid w:val="00A12814"/>
    <w:rsid w:val="00A12E1E"/>
    <w:rsid w:val="00A12FDA"/>
    <w:rsid w:val="00A13688"/>
    <w:rsid w:val="00A1423C"/>
    <w:rsid w:val="00A14908"/>
    <w:rsid w:val="00A14B51"/>
    <w:rsid w:val="00A16052"/>
    <w:rsid w:val="00A17475"/>
    <w:rsid w:val="00A20C39"/>
    <w:rsid w:val="00A2102A"/>
    <w:rsid w:val="00A21160"/>
    <w:rsid w:val="00A2168A"/>
    <w:rsid w:val="00A216AA"/>
    <w:rsid w:val="00A2183E"/>
    <w:rsid w:val="00A21F4C"/>
    <w:rsid w:val="00A2308A"/>
    <w:rsid w:val="00A236E1"/>
    <w:rsid w:val="00A241C8"/>
    <w:rsid w:val="00A253DC"/>
    <w:rsid w:val="00A25BCB"/>
    <w:rsid w:val="00A265CE"/>
    <w:rsid w:val="00A27932"/>
    <w:rsid w:val="00A30A91"/>
    <w:rsid w:val="00A3103C"/>
    <w:rsid w:val="00A3284B"/>
    <w:rsid w:val="00A3295F"/>
    <w:rsid w:val="00A32FCA"/>
    <w:rsid w:val="00A33D1E"/>
    <w:rsid w:val="00A34C6F"/>
    <w:rsid w:val="00A34D46"/>
    <w:rsid w:val="00A35654"/>
    <w:rsid w:val="00A35D10"/>
    <w:rsid w:val="00A369A6"/>
    <w:rsid w:val="00A36D82"/>
    <w:rsid w:val="00A373F4"/>
    <w:rsid w:val="00A377D6"/>
    <w:rsid w:val="00A37B44"/>
    <w:rsid w:val="00A40368"/>
    <w:rsid w:val="00A40B7C"/>
    <w:rsid w:val="00A42A24"/>
    <w:rsid w:val="00A42C4C"/>
    <w:rsid w:val="00A43EB7"/>
    <w:rsid w:val="00A44FDC"/>
    <w:rsid w:val="00A44FEF"/>
    <w:rsid w:val="00A45FEF"/>
    <w:rsid w:val="00A464AC"/>
    <w:rsid w:val="00A472D6"/>
    <w:rsid w:val="00A47A34"/>
    <w:rsid w:val="00A5008B"/>
    <w:rsid w:val="00A5112F"/>
    <w:rsid w:val="00A516FD"/>
    <w:rsid w:val="00A5173B"/>
    <w:rsid w:val="00A51B24"/>
    <w:rsid w:val="00A52A81"/>
    <w:rsid w:val="00A53367"/>
    <w:rsid w:val="00A56195"/>
    <w:rsid w:val="00A56364"/>
    <w:rsid w:val="00A60422"/>
    <w:rsid w:val="00A618EF"/>
    <w:rsid w:val="00A62856"/>
    <w:rsid w:val="00A64045"/>
    <w:rsid w:val="00A640E4"/>
    <w:rsid w:val="00A64DFC"/>
    <w:rsid w:val="00A6622C"/>
    <w:rsid w:val="00A6694B"/>
    <w:rsid w:val="00A66ACB"/>
    <w:rsid w:val="00A67456"/>
    <w:rsid w:val="00A7110F"/>
    <w:rsid w:val="00A7114C"/>
    <w:rsid w:val="00A72EB5"/>
    <w:rsid w:val="00A7382F"/>
    <w:rsid w:val="00A73B8C"/>
    <w:rsid w:val="00A74286"/>
    <w:rsid w:val="00A74CD2"/>
    <w:rsid w:val="00A74DE5"/>
    <w:rsid w:val="00A75277"/>
    <w:rsid w:val="00A752FE"/>
    <w:rsid w:val="00A779DC"/>
    <w:rsid w:val="00A810AB"/>
    <w:rsid w:val="00A812B5"/>
    <w:rsid w:val="00A818E2"/>
    <w:rsid w:val="00A82FE0"/>
    <w:rsid w:val="00A837B1"/>
    <w:rsid w:val="00A83A72"/>
    <w:rsid w:val="00A83F37"/>
    <w:rsid w:val="00A8431B"/>
    <w:rsid w:val="00A8482E"/>
    <w:rsid w:val="00A84C96"/>
    <w:rsid w:val="00A84F27"/>
    <w:rsid w:val="00A85082"/>
    <w:rsid w:val="00A86D92"/>
    <w:rsid w:val="00A86DF5"/>
    <w:rsid w:val="00A87560"/>
    <w:rsid w:val="00A90D09"/>
    <w:rsid w:val="00A91ABA"/>
    <w:rsid w:val="00A91BE5"/>
    <w:rsid w:val="00A920A8"/>
    <w:rsid w:val="00A93060"/>
    <w:rsid w:val="00A94A83"/>
    <w:rsid w:val="00A95275"/>
    <w:rsid w:val="00A9535D"/>
    <w:rsid w:val="00A95C39"/>
    <w:rsid w:val="00A97002"/>
    <w:rsid w:val="00A97531"/>
    <w:rsid w:val="00A97A29"/>
    <w:rsid w:val="00A97EE2"/>
    <w:rsid w:val="00AA0A98"/>
    <w:rsid w:val="00AA1525"/>
    <w:rsid w:val="00AA1D07"/>
    <w:rsid w:val="00AA1F2C"/>
    <w:rsid w:val="00AA2025"/>
    <w:rsid w:val="00AA2334"/>
    <w:rsid w:val="00AA2506"/>
    <w:rsid w:val="00AA27DA"/>
    <w:rsid w:val="00AA3328"/>
    <w:rsid w:val="00AA471D"/>
    <w:rsid w:val="00AA47A6"/>
    <w:rsid w:val="00AA4EF1"/>
    <w:rsid w:val="00AA581F"/>
    <w:rsid w:val="00AA598D"/>
    <w:rsid w:val="00AA5AE7"/>
    <w:rsid w:val="00AA6E30"/>
    <w:rsid w:val="00AA700F"/>
    <w:rsid w:val="00AA7092"/>
    <w:rsid w:val="00AA78DC"/>
    <w:rsid w:val="00AB041C"/>
    <w:rsid w:val="00AB1270"/>
    <w:rsid w:val="00AB199C"/>
    <w:rsid w:val="00AB1FA3"/>
    <w:rsid w:val="00AB52DB"/>
    <w:rsid w:val="00AB534B"/>
    <w:rsid w:val="00AB664E"/>
    <w:rsid w:val="00AB7948"/>
    <w:rsid w:val="00AB7B43"/>
    <w:rsid w:val="00AB7E17"/>
    <w:rsid w:val="00AC039F"/>
    <w:rsid w:val="00AC41B5"/>
    <w:rsid w:val="00AC5877"/>
    <w:rsid w:val="00AC5BD5"/>
    <w:rsid w:val="00AC6469"/>
    <w:rsid w:val="00AC679B"/>
    <w:rsid w:val="00AC70D9"/>
    <w:rsid w:val="00AD134F"/>
    <w:rsid w:val="00AD287A"/>
    <w:rsid w:val="00AD4328"/>
    <w:rsid w:val="00AD44F6"/>
    <w:rsid w:val="00AD6239"/>
    <w:rsid w:val="00AD6388"/>
    <w:rsid w:val="00AD75A9"/>
    <w:rsid w:val="00AD777E"/>
    <w:rsid w:val="00AD7D57"/>
    <w:rsid w:val="00AD7E03"/>
    <w:rsid w:val="00AD7F25"/>
    <w:rsid w:val="00AE224C"/>
    <w:rsid w:val="00AE3650"/>
    <w:rsid w:val="00AE3AC5"/>
    <w:rsid w:val="00AE47C7"/>
    <w:rsid w:val="00AE4853"/>
    <w:rsid w:val="00AE49F8"/>
    <w:rsid w:val="00AE5B27"/>
    <w:rsid w:val="00AE6801"/>
    <w:rsid w:val="00AE6E53"/>
    <w:rsid w:val="00AE6EDD"/>
    <w:rsid w:val="00AF0EAF"/>
    <w:rsid w:val="00AF1352"/>
    <w:rsid w:val="00AF1848"/>
    <w:rsid w:val="00AF1CA3"/>
    <w:rsid w:val="00AF1CEF"/>
    <w:rsid w:val="00AF26F7"/>
    <w:rsid w:val="00AF5886"/>
    <w:rsid w:val="00AF67B4"/>
    <w:rsid w:val="00AF6B65"/>
    <w:rsid w:val="00AF738F"/>
    <w:rsid w:val="00B01222"/>
    <w:rsid w:val="00B0187F"/>
    <w:rsid w:val="00B01BC7"/>
    <w:rsid w:val="00B0357F"/>
    <w:rsid w:val="00B03E07"/>
    <w:rsid w:val="00B041F4"/>
    <w:rsid w:val="00B047A5"/>
    <w:rsid w:val="00B04BD3"/>
    <w:rsid w:val="00B070CE"/>
    <w:rsid w:val="00B076F6"/>
    <w:rsid w:val="00B11192"/>
    <w:rsid w:val="00B12193"/>
    <w:rsid w:val="00B1267E"/>
    <w:rsid w:val="00B12832"/>
    <w:rsid w:val="00B128B5"/>
    <w:rsid w:val="00B1307E"/>
    <w:rsid w:val="00B13CF4"/>
    <w:rsid w:val="00B14EA7"/>
    <w:rsid w:val="00B16275"/>
    <w:rsid w:val="00B165CE"/>
    <w:rsid w:val="00B21369"/>
    <w:rsid w:val="00B2204F"/>
    <w:rsid w:val="00B22721"/>
    <w:rsid w:val="00B2409C"/>
    <w:rsid w:val="00B24184"/>
    <w:rsid w:val="00B24C9B"/>
    <w:rsid w:val="00B254C6"/>
    <w:rsid w:val="00B25B82"/>
    <w:rsid w:val="00B26F08"/>
    <w:rsid w:val="00B27D66"/>
    <w:rsid w:val="00B33732"/>
    <w:rsid w:val="00B33834"/>
    <w:rsid w:val="00B33D58"/>
    <w:rsid w:val="00B357D4"/>
    <w:rsid w:val="00B36132"/>
    <w:rsid w:val="00B366A0"/>
    <w:rsid w:val="00B376C0"/>
    <w:rsid w:val="00B40243"/>
    <w:rsid w:val="00B403DC"/>
    <w:rsid w:val="00B40620"/>
    <w:rsid w:val="00B40C82"/>
    <w:rsid w:val="00B42F80"/>
    <w:rsid w:val="00B434B8"/>
    <w:rsid w:val="00B4451A"/>
    <w:rsid w:val="00B44F9B"/>
    <w:rsid w:val="00B458D2"/>
    <w:rsid w:val="00B477AA"/>
    <w:rsid w:val="00B47E81"/>
    <w:rsid w:val="00B5040D"/>
    <w:rsid w:val="00B511B1"/>
    <w:rsid w:val="00B511C4"/>
    <w:rsid w:val="00B51A91"/>
    <w:rsid w:val="00B539A8"/>
    <w:rsid w:val="00B53D88"/>
    <w:rsid w:val="00B53EB1"/>
    <w:rsid w:val="00B554D3"/>
    <w:rsid w:val="00B555E8"/>
    <w:rsid w:val="00B56174"/>
    <w:rsid w:val="00B57E44"/>
    <w:rsid w:val="00B60981"/>
    <w:rsid w:val="00B60B2D"/>
    <w:rsid w:val="00B6174C"/>
    <w:rsid w:val="00B6238A"/>
    <w:rsid w:val="00B627F4"/>
    <w:rsid w:val="00B62912"/>
    <w:rsid w:val="00B62AD5"/>
    <w:rsid w:val="00B65B37"/>
    <w:rsid w:val="00B660DE"/>
    <w:rsid w:val="00B71CE7"/>
    <w:rsid w:val="00B72325"/>
    <w:rsid w:val="00B72880"/>
    <w:rsid w:val="00B73637"/>
    <w:rsid w:val="00B73A57"/>
    <w:rsid w:val="00B76C4A"/>
    <w:rsid w:val="00B77597"/>
    <w:rsid w:val="00B775A7"/>
    <w:rsid w:val="00B803A2"/>
    <w:rsid w:val="00B80D86"/>
    <w:rsid w:val="00B8119C"/>
    <w:rsid w:val="00B835EA"/>
    <w:rsid w:val="00B839C8"/>
    <w:rsid w:val="00B85BEA"/>
    <w:rsid w:val="00B86009"/>
    <w:rsid w:val="00B87131"/>
    <w:rsid w:val="00B87DD9"/>
    <w:rsid w:val="00B90317"/>
    <w:rsid w:val="00B92720"/>
    <w:rsid w:val="00B92AD3"/>
    <w:rsid w:val="00B94010"/>
    <w:rsid w:val="00B94097"/>
    <w:rsid w:val="00B95335"/>
    <w:rsid w:val="00B95547"/>
    <w:rsid w:val="00B96275"/>
    <w:rsid w:val="00B9631C"/>
    <w:rsid w:val="00B97B96"/>
    <w:rsid w:val="00BA01E3"/>
    <w:rsid w:val="00BA06B2"/>
    <w:rsid w:val="00BA075F"/>
    <w:rsid w:val="00BA0926"/>
    <w:rsid w:val="00BA0C46"/>
    <w:rsid w:val="00BA0D0D"/>
    <w:rsid w:val="00BA19EA"/>
    <w:rsid w:val="00BA225A"/>
    <w:rsid w:val="00BA2F73"/>
    <w:rsid w:val="00BA329C"/>
    <w:rsid w:val="00BA38CD"/>
    <w:rsid w:val="00BA3E6D"/>
    <w:rsid w:val="00BA48F6"/>
    <w:rsid w:val="00BA54F5"/>
    <w:rsid w:val="00BA60B8"/>
    <w:rsid w:val="00BA61B0"/>
    <w:rsid w:val="00BA64A3"/>
    <w:rsid w:val="00BA749B"/>
    <w:rsid w:val="00BA7672"/>
    <w:rsid w:val="00BA7C08"/>
    <w:rsid w:val="00BA7FA9"/>
    <w:rsid w:val="00BB14A0"/>
    <w:rsid w:val="00BB151C"/>
    <w:rsid w:val="00BB1A88"/>
    <w:rsid w:val="00BB1B23"/>
    <w:rsid w:val="00BB1F27"/>
    <w:rsid w:val="00BB30AB"/>
    <w:rsid w:val="00BB461B"/>
    <w:rsid w:val="00BB486E"/>
    <w:rsid w:val="00BB5FED"/>
    <w:rsid w:val="00BB62A9"/>
    <w:rsid w:val="00BB7CA0"/>
    <w:rsid w:val="00BC044D"/>
    <w:rsid w:val="00BC0A4E"/>
    <w:rsid w:val="00BC123D"/>
    <w:rsid w:val="00BC14C9"/>
    <w:rsid w:val="00BC1E01"/>
    <w:rsid w:val="00BC3EDC"/>
    <w:rsid w:val="00BC4CBA"/>
    <w:rsid w:val="00BC5257"/>
    <w:rsid w:val="00BC5902"/>
    <w:rsid w:val="00BC5D8D"/>
    <w:rsid w:val="00BC6403"/>
    <w:rsid w:val="00BC6D5E"/>
    <w:rsid w:val="00BC7AF1"/>
    <w:rsid w:val="00BC7F2C"/>
    <w:rsid w:val="00BD030B"/>
    <w:rsid w:val="00BD0F4E"/>
    <w:rsid w:val="00BD0F79"/>
    <w:rsid w:val="00BD0FE7"/>
    <w:rsid w:val="00BD2329"/>
    <w:rsid w:val="00BD2469"/>
    <w:rsid w:val="00BD2809"/>
    <w:rsid w:val="00BD2E24"/>
    <w:rsid w:val="00BD3554"/>
    <w:rsid w:val="00BD3719"/>
    <w:rsid w:val="00BD3C18"/>
    <w:rsid w:val="00BD430D"/>
    <w:rsid w:val="00BD4EF8"/>
    <w:rsid w:val="00BD4FFF"/>
    <w:rsid w:val="00BD5325"/>
    <w:rsid w:val="00BD6424"/>
    <w:rsid w:val="00BD65DA"/>
    <w:rsid w:val="00BD7B4D"/>
    <w:rsid w:val="00BE11A5"/>
    <w:rsid w:val="00BE1A18"/>
    <w:rsid w:val="00BE1DCB"/>
    <w:rsid w:val="00BE2DEC"/>
    <w:rsid w:val="00BE42B5"/>
    <w:rsid w:val="00BE4709"/>
    <w:rsid w:val="00BE4C2D"/>
    <w:rsid w:val="00BE5737"/>
    <w:rsid w:val="00BE615D"/>
    <w:rsid w:val="00BE6A94"/>
    <w:rsid w:val="00BE6DE0"/>
    <w:rsid w:val="00BF06D9"/>
    <w:rsid w:val="00BF0A87"/>
    <w:rsid w:val="00BF125F"/>
    <w:rsid w:val="00BF1407"/>
    <w:rsid w:val="00BF162C"/>
    <w:rsid w:val="00BF1830"/>
    <w:rsid w:val="00BF1E89"/>
    <w:rsid w:val="00BF25A0"/>
    <w:rsid w:val="00BF2649"/>
    <w:rsid w:val="00BF2D1A"/>
    <w:rsid w:val="00BF5DC1"/>
    <w:rsid w:val="00BF633C"/>
    <w:rsid w:val="00BF7A8C"/>
    <w:rsid w:val="00BF7D3F"/>
    <w:rsid w:val="00C004C8"/>
    <w:rsid w:val="00C0297C"/>
    <w:rsid w:val="00C029B2"/>
    <w:rsid w:val="00C032A8"/>
    <w:rsid w:val="00C03BB9"/>
    <w:rsid w:val="00C04487"/>
    <w:rsid w:val="00C04F43"/>
    <w:rsid w:val="00C05B04"/>
    <w:rsid w:val="00C10594"/>
    <w:rsid w:val="00C106B0"/>
    <w:rsid w:val="00C11FA2"/>
    <w:rsid w:val="00C12867"/>
    <w:rsid w:val="00C12AAF"/>
    <w:rsid w:val="00C13610"/>
    <w:rsid w:val="00C14B7E"/>
    <w:rsid w:val="00C14C1B"/>
    <w:rsid w:val="00C15218"/>
    <w:rsid w:val="00C15387"/>
    <w:rsid w:val="00C15E0E"/>
    <w:rsid w:val="00C16DF1"/>
    <w:rsid w:val="00C17326"/>
    <w:rsid w:val="00C20BBF"/>
    <w:rsid w:val="00C21726"/>
    <w:rsid w:val="00C21B95"/>
    <w:rsid w:val="00C22435"/>
    <w:rsid w:val="00C22E4F"/>
    <w:rsid w:val="00C23C1E"/>
    <w:rsid w:val="00C24966"/>
    <w:rsid w:val="00C24A4E"/>
    <w:rsid w:val="00C25006"/>
    <w:rsid w:val="00C25464"/>
    <w:rsid w:val="00C26E07"/>
    <w:rsid w:val="00C27666"/>
    <w:rsid w:val="00C30691"/>
    <w:rsid w:val="00C3083F"/>
    <w:rsid w:val="00C30CAB"/>
    <w:rsid w:val="00C317BD"/>
    <w:rsid w:val="00C31F6E"/>
    <w:rsid w:val="00C33684"/>
    <w:rsid w:val="00C340E1"/>
    <w:rsid w:val="00C35260"/>
    <w:rsid w:val="00C355D8"/>
    <w:rsid w:val="00C36613"/>
    <w:rsid w:val="00C36A1E"/>
    <w:rsid w:val="00C3755F"/>
    <w:rsid w:val="00C401DB"/>
    <w:rsid w:val="00C42AC6"/>
    <w:rsid w:val="00C42CC5"/>
    <w:rsid w:val="00C4359B"/>
    <w:rsid w:val="00C44187"/>
    <w:rsid w:val="00C453CA"/>
    <w:rsid w:val="00C50251"/>
    <w:rsid w:val="00C52410"/>
    <w:rsid w:val="00C52F79"/>
    <w:rsid w:val="00C52FFB"/>
    <w:rsid w:val="00C53BB9"/>
    <w:rsid w:val="00C541DF"/>
    <w:rsid w:val="00C55BB0"/>
    <w:rsid w:val="00C563DA"/>
    <w:rsid w:val="00C6058A"/>
    <w:rsid w:val="00C61D7F"/>
    <w:rsid w:val="00C644E8"/>
    <w:rsid w:val="00C64F2A"/>
    <w:rsid w:val="00C66A4F"/>
    <w:rsid w:val="00C67F18"/>
    <w:rsid w:val="00C70692"/>
    <w:rsid w:val="00C709C9"/>
    <w:rsid w:val="00C74624"/>
    <w:rsid w:val="00C7467C"/>
    <w:rsid w:val="00C7477A"/>
    <w:rsid w:val="00C76874"/>
    <w:rsid w:val="00C76E56"/>
    <w:rsid w:val="00C82706"/>
    <w:rsid w:val="00C82A59"/>
    <w:rsid w:val="00C82A62"/>
    <w:rsid w:val="00C83B74"/>
    <w:rsid w:val="00C87016"/>
    <w:rsid w:val="00C87017"/>
    <w:rsid w:val="00C8752A"/>
    <w:rsid w:val="00C87C09"/>
    <w:rsid w:val="00C90EC0"/>
    <w:rsid w:val="00C91C6A"/>
    <w:rsid w:val="00C92F15"/>
    <w:rsid w:val="00C93119"/>
    <w:rsid w:val="00C95248"/>
    <w:rsid w:val="00C95CB5"/>
    <w:rsid w:val="00C95E4E"/>
    <w:rsid w:val="00C95EDC"/>
    <w:rsid w:val="00C96108"/>
    <w:rsid w:val="00C97029"/>
    <w:rsid w:val="00C9717D"/>
    <w:rsid w:val="00C97429"/>
    <w:rsid w:val="00C977FF"/>
    <w:rsid w:val="00CA00EA"/>
    <w:rsid w:val="00CA0A36"/>
    <w:rsid w:val="00CA0B80"/>
    <w:rsid w:val="00CA13B1"/>
    <w:rsid w:val="00CA1B7D"/>
    <w:rsid w:val="00CA2945"/>
    <w:rsid w:val="00CA2DE9"/>
    <w:rsid w:val="00CA2E69"/>
    <w:rsid w:val="00CA302F"/>
    <w:rsid w:val="00CA3852"/>
    <w:rsid w:val="00CA3B94"/>
    <w:rsid w:val="00CA5ACD"/>
    <w:rsid w:val="00CA60AE"/>
    <w:rsid w:val="00CA6A76"/>
    <w:rsid w:val="00CA7707"/>
    <w:rsid w:val="00CB0D81"/>
    <w:rsid w:val="00CB14C6"/>
    <w:rsid w:val="00CB2C07"/>
    <w:rsid w:val="00CB2DB7"/>
    <w:rsid w:val="00CB399B"/>
    <w:rsid w:val="00CB5CC5"/>
    <w:rsid w:val="00CB5D8C"/>
    <w:rsid w:val="00CB6128"/>
    <w:rsid w:val="00CB63E6"/>
    <w:rsid w:val="00CB6A31"/>
    <w:rsid w:val="00CB78CF"/>
    <w:rsid w:val="00CB7F3D"/>
    <w:rsid w:val="00CC1086"/>
    <w:rsid w:val="00CC1A1D"/>
    <w:rsid w:val="00CC1C33"/>
    <w:rsid w:val="00CC283E"/>
    <w:rsid w:val="00CC2DD1"/>
    <w:rsid w:val="00CC44E1"/>
    <w:rsid w:val="00CC52F1"/>
    <w:rsid w:val="00CC59CB"/>
    <w:rsid w:val="00CC6FE2"/>
    <w:rsid w:val="00CC7632"/>
    <w:rsid w:val="00CC792A"/>
    <w:rsid w:val="00CD1DF0"/>
    <w:rsid w:val="00CD24C7"/>
    <w:rsid w:val="00CD2FE3"/>
    <w:rsid w:val="00CD3454"/>
    <w:rsid w:val="00CD3F8F"/>
    <w:rsid w:val="00CD4B5B"/>
    <w:rsid w:val="00CD5893"/>
    <w:rsid w:val="00CD63BE"/>
    <w:rsid w:val="00CD68B7"/>
    <w:rsid w:val="00CD7B3C"/>
    <w:rsid w:val="00CD7D80"/>
    <w:rsid w:val="00CD7E5D"/>
    <w:rsid w:val="00CE0E1C"/>
    <w:rsid w:val="00CE1B42"/>
    <w:rsid w:val="00CE21EC"/>
    <w:rsid w:val="00CE3708"/>
    <w:rsid w:val="00CE39DC"/>
    <w:rsid w:val="00CE5873"/>
    <w:rsid w:val="00CE68CE"/>
    <w:rsid w:val="00CF13F0"/>
    <w:rsid w:val="00CF14E7"/>
    <w:rsid w:val="00CF31BD"/>
    <w:rsid w:val="00CF3F9F"/>
    <w:rsid w:val="00CF57D1"/>
    <w:rsid w:val="00CF5893"/>
    <w:rsid w:val="00CF6310"/>
    <w:rsid w:val="00D0135E"/>
    <w:rsid w:val="00D0163C"/>
    <w:rsid w:val="00D01B6C"/>
    <w:rsid w:val="00D02360"/>
    <w:rsid w:val="00D02D1B"/>
    <w:rsid w:val="00D0431C"/>
    <w:rsid w:val="00D0446D"/>
    <w:rsid w:val="00D04DEE"/>
    <w:rsid w:val="00D050E6"/>
    <w:rsid w:val="00D07407"/>
    <w:rsid w:val="00D07D6B"/>
    <w:rsid w:val="00D1025E"/>
    <w:rsid w:val="00D105A4"/>
    <w:rsid w:val="00D10F62"/>
    <w:rsid w:val="00D111F9"/>
    <w:rsid w:val="00D1254F"/>
    <w:rsid w:val="00D125AA"/>
    <w:rsid w:val="00D14746"/>
    <w:rsid w:val="00D151B2"/>
    <w:rsid w:val="00D15DA6"/>
    <w:rsid w:val="00D15DF7"/>
    <w:rsid w:val="00D17B1D"/>
    <w:rsid w:val="00D20D36"/>
    <w:rsid w:val="00D223AB"/>
    <w:rsid w:val="00D2280F"/>
    <w:rsid w:val="00D22E25"/>
    <w:rsid w:val="00D232BB"/>
    <w:rsid w:val="00D23658"/>
    <w:rsid w:val="00D26858"/>
    <w:rsid w:val="00D27FF6"/>
    <w:rsid w:val="00D31089"/>
    <w:rsid w:val="00D31935"/>
    <w:rsid w:val="00D3279E"/>
    <w:rsid w:val="00D337A8"/>
    <w:rsid w:val="00D339E7"/>
    <w:rsid w:val="00D353B6"/>
    <w:rsid w:val="00D406B6"/>
    <w:rsid w:val="00D412A4"/>
    <w:rsid w:val="00D41EF1"/>
    <w:rsid w:val="00D4305F"/>
    <w:rsid w:val="00D440B2"/>
    <w:rsid w:val="00D4437B"/>
    <w:rsid w:val="00D44AD4"/>
    <w:rsid w:val="00D45375"/>
    <w:rsid w:val="00D4548E"/>
    <w:rsid w:val="00D46D9A"/>
    <w:rsid w:val="00D47A86"/>
    <w:rsid w:val="00D5072D"/>
    <w:rsid w:val="00D50962"/>
    <w:rsid w:val="00D50E02"/>
    <w:rsid w:val="00D51945"/>
    <w:rsid w:val="00D51A79"/>
    <w:rsid w:val="00D51E32"/>
    <w:rsid w:val="00D5234C"/>
    <w:rsid w:val="00D53996"/>
    <w:rsid w:val="00D53C0D"/>
    <w:rsid w:val="00D53DD9"/>
    <w:rsid w:val="00D544F9"/>
    <w:rsid w:val="00D5506A"/>
    <w:rsid w:val="00D558D4"/>
    <w:rsid w:val="00D568D5"/>
    <w:rsid w:val="00D56EC7"/>
    <w:rsid w:val="00D61C52"/>
    <w:rsid w:val="00D621DB"/>
    <w:rsid w:val="00D62EAF"/>
    <w:rsid w:val="00D636DA"/>
    <w:rsid w:val="00D63869"/>
    <w:rsid w:val="00D639C6"/>
    <w:rsid w:val="00D65B4D"/>
    <w:rsid w:val="00D65EE9"/>
    <w:rsid w:val="00D65FAE"/>
    <w:rsid w:val="00D66059"/>
    <w:rsid w:val="00D66254"/>
    <w:rsid w:val="00D66A92"/>
    <w:rsid w:val="00D66ACA"/>
    <w:rsid w:val="00D672B7"/>
    <w:rsid w:val="00D676A6"/>
    <w:rsid w:val="00D70818"/>
    <w:rsid w:val="00D70FFB"/>
    <w:rsid w:val="00D71190"/>
    <w:rsid w:val="00D7136A"/>
    <w:rsid w:val="00D71CE0"/>
    <w:rsid w:val="00D721AE"/>
    <w:rsid w:val="00D7224A"/>
    <w:rsid w:val="00D72BDE"/>
    <w:rsid w:val="00D733A5"/>
    <w:rsid w:val="00D74192"/>
    <w:rsid w:val="00D75577"/>
    <w:rsid w:val="00D75CE7"/>
    <w:rsid w:val="00D80814"/>
    <w:rsid w:val="00D811B5"/>
    <w:rsid w:val="00D81723"/>
    <w:rsid w:val="00D8217D"/>
    <w:rsid w:val="00D825C6"/>
    <w:rsid w:val="00D82A4B"/>
    <w:rsid w:val="00D83907"/>
    <w:rsid w:val="00D84222"/>
    <w:rsid w:val="00D84AC0"/>
    <w:rsid w:val="00D85693"/>
    <w:rsid w:val="00D86B02"/>
    <w:rsid w:val="00D87332"/>
    <w:rsid w:val="00D907AE"/>
    <w:rsid w:val="00D90CB1"/>
    <w:rsid w:val="00D9157D"/>
    <w:rsid w:val="00D92432"/>
    <w:rsid w:val="00D930B8"/>
    <w:rsid w:val="00D93747"/>
    <w:rsid w:val="00D94372"/>
    <w:rsid w:val="00D943C4"/>
    <w:rsid w:val="00D94546"/>
    <w:rsid w:val="00D95796"/>
    <w:rsid w:val="00D962EA"/>
    <w:rsid w:val="00D9647E"/>
    <w:rsid w:val="00D96BBA"/>
    <w:rsid w:val="00D975BC"/>
    <w:rsid w:val="00D97E54"/>
    <w:rsid w:val="00DA034F"/>
    <w:rsid w:val="00DA0719"/>
    <w:rsid w:val="00DA1500"/>
    <w:rsid w:val="00DA2EE4"/>
    <w:rsid w:val="00DA3582"/>
    <w:rsid w:val="00DA44F1"/>
    <w:rsid w:val="00DA5769"/>
    <w:rsid w:val="00DA59B1"/>
    <w:rsid w:val="00DA6B0D"/>
    <w:rsid w:val="00DB0259"/>
    <w:rsid w:val="00DB07B7"/>
    <w:rsid w:val="00DB1161"/>
    <w:rsid w:val="00DB2061"/>
    <w:rsid w:val="00DB31AB"/>
    <w:rsid w:val="00DB3B2C"/>
    <w:rsid w:val="00DB3E90"/>
    <w:rsid w:val="00DB45FF"/>
    <w:rsid w:val="00DB618B"/>
    <w:rsid w:val="00DB6941"/>
    <w:rsid w:val="00DB6A22"/>
    <w:rsid w:val="00DB6B1B"/>
    <w:rsid w:val="00DB74D1"/>
    <w:rsid w:val="00DB79FD"/>
    <w:rsid w:val="00DB7C9F"/>
    <w:rsid w:val="00DC0303"/>
    <w:rsid w:val="00DC15D6"/>
    <w:rsid w:val="00DC6BB7"/>
    <w:rsid w:val="00DC7212"/>
    <w:rsid w:val="00DC7C2F"/>
    <w:rsid w:val="00DD0EB9"/>
    <w:rsid w:val="00DD100F"/>
    <w:rsid w:val="00DD10BA"/>
    <w:rsid w:val="00DD2A3A"/>
    <w:rsid w:val="00DD399E"/>
    <w:rsid w:val="00DD3B2C"/>
    <w:rsid w:val="00DD49F6"/>
    <w:rsid w:val="00DD49F9"/>
    <w:rsid w:val="00DD579C"/>
    <w:rsid w:val="00DD57EA"/>
    <w:rsid w:val="00DD619A"/>
    <w:rsid w:val="00DD6585"/>
    <w:rsid w:val="00DD6A97"/>
    <w:rsid w:val="00DE080A"/>
    <w:rsid w:val="00DE1092"/>
    <w:rsid w:val="00DE1325"/>
    <w:rsid w:val="00DE24AC"/>
    <w:rsid w:val="00DE28AA"/>
    <w:rsid w:val="00DE2D17"/>
    <w:rsid w:val="00DE47B3"/>
    <w:rsid w:val="00DE4AD6"/>
    <w:rsid w:val="00DE4C84"/>
    <w:rsid w:val="00DE4FFC"/>
    <w:rsid w:val="00DE507C"/>
    <w:rsid w:val="00DE5865"/>
    <w:rsid w:val="00DE6C1C"/>
    <w:rsid w:val="00DE6E0A"/>
    <w:rsid w:val="00DE7CF3"/>
    <w:rsid w:val="00DE7D04"/>
    <w:rsid w:val="00DF0AAB"/>
    <w:rsid w:val="00DF12D7"/>
    <w:rsid w:val="00DF138A"/>
    <w:rsid w:val="00DF2023"/>
    <w:rsid w:val="00DF2B45"/>
    <w:rsid w:val="00DF2CBB"/>
    <w:rsid w:val="00DF341B"/>
    <w:rsid w:val="00DF3B5B"/>
    <w:rsid w:val="00DF405D"/>
    <w:rsid w:val="00DF6275"/>
    <w:rsid w:val="00DF6567"/>
    <w:rsid w:val="00DF6EBD"/>
    <w:rsid w:val="00DF71C8"/>
    <w:rsid w:val="00DF76EB"/>
    <w:rsid w:val="00DF7A02"/>
    <w:rsid w:val="00DF7C6D"/>
    <w:rsid w:val="00E00839"/>
    <w:rsid w:val="00E01528"/>
    <w:rsid w:val="00E0213D"/>
    <w:rsid w:val="00E04317"/>
    <w:rsid w:val="00E043ED"/>
    <w:rsid w:val="00E04FEC"/>
    <w:rsid w:val="00E0695F"/>
    <w:rsid w:val="00E10961"/>
    <w:rsid w:val="00E10A94"/>
    <w:rsid w:val="00E10D90"/>
    <w:rsid w:val="00E10DA6"/>
    <w:rsid w:val="00E1161A"/>
    <w:rsid w:val="00E134F2"/>
    <w:rsid w:val="00E13AE0"/>
    <w:rsid w:val="00E13B23"/>
    <w:rsid w:val="00E13D5D"/>
    <w:rsid w:val="00E1411A"/>
    <w:rsid w:val="00E14E3A"/>
    <w:rsid w:val="00E15F22"/>
    <w:rsid w:val="00E16007"/>
    <w:rsid w:val="00E16886"/>
    <w:rsid w:val="00E16CD5"/>
    <w:rsid w:val="00E17518"/>
    <w:rsid w:val="00E200AF"/>
    <w:rsid w:val="00E20477"/>
    <w:rsid w:val="00E20C21"/>
    <w:rsid w:val="00E219C8"/>
    <w:rsid w:val="00E236DD"/>
    <w:rsid w:val="00E263F0"/>
    <w:rsid w:val="00E2678C"/>
    <w:rsid w:val="00E272C2"/>
    <w:rsid w:val="00E27A71"/>
    <w:rsid w:val="00E306EA"/>
    <w:rsid w:val="00E31132"/>
    <w:rsid w:val="00E31AE0"/>
    <w:rsid w:val="00E32312"/>
    <w:rsid w:val="00E336EB"/>
    <w:rsid w:val="00E33743"/>
    <w:rsid w:val="00E3662B"/>
    <w:rsid w:val="00E379B2"/>
    <w:rsid w:val="00E401D2"/>
    <w:rsid w:val="00E41391"/>
    <w:rsid w:val="00E4156B"/>
    <w:rsid w:val="00E420F3"/>
    <w:rsid w:val="00E42E3C"/>
    <w:rsid w:val="00E43012"/>
    <w:rsid w:val="00E441ED"/>
    <w:rsid w:val="00E445F6"/>
    <w:rsid w:val="00E44A79"/>
    <w:rsid w:val="00E44FFD"/>
    <w:rsid w:val="00E45229"/>
    <w:rsid w:val="00E47A50"/>
    <w:rsid w:val="00E47DC8"/>
    <w:rsid w:val="00E5039C"/>
    <w:rsid w:val="00E515BC"/>
    <w:rsid w:val="00E51C07"/>
    <w:rsid w:val="00E5218D"/>
    <w:rsid w:val="00E5368B"/>
    <w:rsid w:val="00E54255"/>
    <w:rsid w:val="00E54913"/>
    <w:rsid w:val="00E5497E"/>
    <w:rsid w:val="00E549D0"/>
    <w:rsid w:val="00E54CB6"/>
    <w:rsid w:val="00E55E89"/>
    <w:rsid w:val="00E562E9"/>
    <w:rsid w:val="00E56B7C"/>
    <w:rsid w:val="00E56CB4"/>
    <w:rsid w:val="00E579BA"/>
    <w:rsid w:val="00E6013A"/>
    <w:rsid w:val="00E61AEB"/>
    <w:rsid w:val="00E620F4"/>
    <w:rsid w:val="00E62C9D"/>
    <w:rsid w:val="00E63B25"/>
    <w:rsid w:val="00E65702"/>
    <w:rsid w:val="00E65EC3"/>
    <w:rsid w:val="00E65FA5"/>
    <w:rsid w:val="00E65FE6"/>
    <w:rsid w:val="00E66829"/>
    <w:rsid w:val="00E70073"/>
    <w:rsid w:val="00E70210"/>
    <w:rsid w:val="00E7106F"/>
    <w:rsid w:val="00E711DF"/>
    <w:rsid w:val="00E7152D"/>
    <w:rsid w:val="00E71AE3"/>
    <w:rsid w:val="00E71CA3"/>
    <w:rsid w:val="00E72BB1"/>
    <w:rsid w:val="00E72C52"/>
    <w:rsid w:val="00E72F11"/>
    <w:rsid w:val="00E73448"/>
    <w:rsid w:val="00E7391A"/>
    <w:rsid w:val="00E73A4D"/>
    <w:rsid w:val="00E7425D"/>
    <w:rsid w:val="00E74427"/>
    <w:rsid w:val="00E75EDD"/>
    <w:rsid w:val="00E762CD"/>
    <w:rsid w:val="00E76583"/>
    <w:rsid w:val="00E76C43"/>
    <w:rsid w:val="00E76C6E"/>
    <w:rsid w:val="00E77C4C"/>
    <w:rsid w:val="00E77FDD"/>
    <w:rsid w:val="00E80B91"/>
    <w:rsid w:val="00E828D0"/>
    <w:rsid w:val="00E8388E"/>
    <w:rsid w:val="00E83C96"/>
    <w:rsid w:val="00E85C1C"/>
    <w:rsid w:val="00E87735"/>
    <w:rsid w:val="00E901BB"/>
    <w:rsid w:val="00E907F2"/>
    <w:rsid w:val="00E91409"/>
    <w:rsid w:val="00E9144C"/>
    <w:rsid w:val="00E91A3E"/>
    <w:rsid w:val="00E9218C"/>
    <w:rsid w:val="00E930C1"/>
    <w:rsid w:val="00E93691"/>
    <w:rsid w:val="00E94AB9"/>
    <w:rsid w:val="00E94F0D"/>
    <w:rsid w:val="00E95C81"/>
    <w:rsid w:val="00E95F24"/>
    <w:rsid w:val="00E96F5F"/>
    <w:rsid w:val="00E97492"/>
    <w:rsid w:val="00E979D5"/>
    <w:rsid w:val="00E97F21"/>
    <w:rsid w:val="00EA011C"/>
    <w:rsid w:val="00EA0243"/>
    <w:rsid w:val="00EA084B"/>
    <w:rsid w:val="00EA199E"/>
    <w:rsid w:val="00EA245F"/>
    <w:rsid w:val="00EA4058"/>
    <w:rsid w:val="00EA47C5"/>
    <w:rsid w:val="00EA556F"/>
    <w:rsid w:val="00EA717E"/>
    <w:rsid w:val="00EA7B76"/>
    <w:rsid w:val="00EB00A1"/>
    <w:rsid w:val="00EB2906"/>
    <w:rsid w:val="00EB2AA1"/>
    <w:rsid w:val="00EB36B4"/>
    <w:rsid w:val="00EB407E"/>
    <w:rsid w:val="00EB416C"/>
    <w:rsid w:val="00EB5750"/>
    <w:rsid w:val="00EB5BB6"/>
    <w:rsid w:val="00EB62FE"/>
    <w:rsid w:val="00EB6AAA"/>
    <w:rsid w:val="00EC0E29"/>
    <w:rsid w:val="00EC2250"/>
    <w:rsid w:val="00EC2338"/>
    <w:rsid w:val="00EC3831"/>
    <w:rsid w:val="00EC3E8A"/>
    <w:rsid w:val="00EC4018"/>
    <w:rsid w:val="00EC4AF7"/>
    <w:rsid w:val="00EC6633"/>
    <w:rsid w:val="00EC6FA8"/>
    <w:rsid w:val="00EC7250"/>
    <w:rsid w:val="00EC7F56"/>
    <w:rsid w:val="00ED0068"/>
    <w:rsid w:val="00ED1207"/>
    <w:rsid w:val="00ED16E4"/>
    <w:rsid w:val="00ED3A04"/>
    <w:rsid w:val="00ED41C5"/>
    <w:rsid w:val="00ED430E"/>
    <w:rsid w:val="00ED5AEA"/>
    <w:rsid w:val="00ED5D2E"/>
    <w:rsid w:val="00ED6E6A"/>
    <w:rsid w:val="00ED7660"/>
    <w:rsid w:val="00ED774F"/>
    <w:rsid w:val="00EE007A"/>
    <w:rsid w:val="00EE0AA7"/>
    <w:rsid w:val="00EE1CCC"/>
    <w:rsid w:val="00EE1D57"/>
    <w:rsid w:val="00EE22D4"/>
    <w:rsid w:val="00EE2611"/>
    <w:rsid w:val="00EE2EB4"/>
    <w:rsid w:val="00EE36DF"/>
    <w:rsid w:val="00EE37F1"/>
    <w:rsid w:val="00EE3A66"/>
    <w:rsid w:val="00EE3B18"/>
    <w:rsid w:val="00EE44EE"/>
    <w:rsid w:val="00EE47B8"/>
    <w:rsid w:val="00EE4CDF"/>
    <w:rsid w:val="00EE4FEA"/>
    <w:rsid w:val="00EE61C5"/>
    <w:rsid w:val="00EE7112"/>
    <w:rsid w:val="00EE7CD1"/>
    <w:rsid w:val="00EF10D6"/>
    <w:rsid w:val="00EF1980"/>
    <w:rsid w:val="00EF2866"/>
    <w:rsid w:val="00EF327A"/>
    <w:rsid w:val="00EF3550"/>
    <w:rsid w:val="00EF3B7E"/>
    <w:rsid w:val="00EF3DF0"/>
    <w:rsid w:val="00EF44AB"/>
    <w:rsid w:val="00EF472C"/>
    <w:rsid w:val="00EF48BD"/>
    <w:rsid w:val="00EF5973"/>
    <w:rsid w:val="00EF5B80"/>
    <w:rsid w:val="00EF5C44"/>
    <w:rsid w:val="00EF7122"/>
    <w:rsid w:val="00EF7421"/>
    <w:rsid w:val="00EF7523"/>
    <w:rsid w:val="00EF7804"/>
    <w:rsid w:val="00EF786D"/>
    <w:rsid w:val="00EF7C2C"/>
    <w:rsid w:val="00F0266D"/>
    <w:rsid w:val="00F02D82"/>
    <w:rsid w:val="00F02FFD"/>
    <w:rsid w:val="00F03FD4"/>
    <w:rsid w:val="00F045A5"/>
    <w:rsid w:val="00F0581A"/>
    <w:rsid w:val="00F06B34"/>
    <w:rsid w:val="00F0730A"/>
    <w:rsid w:val="00F07CFC"/>
    <w:rsid w:val="00F10055"/>
    <w:rsid w:val="00F1370F"/>
    <w:rsid w:val="00F1381D"/>
    <w:rsid w:val="00F152AE"/>
    <w:rsid w:val="00F153D1"/>
    <w:rsid w:val="00F16C58"/>
    <w:rsid w:val="00F21166"/>
    <w:rsid w:val="00F21822"/>
    <w:rsid w:val="00F21B21"/>
    <w:rsid w:val="00F222D3"/>
    <w:rsid w:val="00F23E23"/>
    <w:rsid w:val="00F24293"/>
    <w:rsid w:val="00F24529"/>
    <w:rsid w:val="00F24602"/>
    <w:rsid w:val="00F25295"/>
    <w:rsid w:val="00F26307"/>
    <w:rsid w:val="00F26FBB"/>
    <w:rsid w:val="00F273F6"/>
    <w:rsid w:val="00F27BF4"/>
    <w:rsid w:val="00F27D5A"/>
    <w:rsid w:val="00F303B3"/>
    <w:rsid w:val="00F31139"/>
    <w:rsid w:val="00F31F75"/>
    <w:rsid w:val="00F325B1"/>
    <w:rsid w:val="00F32BA1"/>
    <w:rsid w:val="00F33010"/>
    <w:rsid w:val="00F33198"/>
    <w:rsid w:val="00F33874"/>
    <w:rsid w:val="00F344BF"/>
    <w:rsid w:val="00F34857"/>
    <w:rsid w:val="00F34C8F"/>
    <w:rsid w:val="00F35044"/>
    <w:rsid w:val="00F353A6"/>
    <w:rsid w:val="00F35881"/>
    <w:rsid w:val="00F35A5B"/>
    <w:rsid w:val="00F37A1E"/>
    <w:rsid w:val="00F4071A"/>
    <w:rsid w:val="00F40DBC"/>
    <w:rsid w:val="00F4124D"/>
    <w:rsid w:val="00F41F01"/>
    <w:rsid w:val="00F43977"/>
    <w:rsid w:val="00F43C57"/>
    <w:rsid w:val="00F44A8E"/>
    <w:rsid w:val="00F44C1B"/>
    <w:rsid w:val="00F45939"/>
    <w:rsid w:val="00F45E29"/>
    <w:rsid w:val="00F474E0"/>
    <w:rsid w:val="00F506F9"/>
    <w:rsid w:val="00F5101A"/>
    <w:rsid w:val="00F519AF"/>
    <w:rsid w:val="00F51FAD"/>
    <w:rsid w:val="00F5270A"/>
    <w:rsid w:val="00F52A24"/>
    <w:rsid w:val="00F52DB8"/>
    <w:rsid w:val="00F5453D"/>
    <w:rsid w:val="00F547E8"/>
    <w:rsid w:val="00F56CDD"/>
    <w:rsid w:val="00F600AE"/>
    <w:rsid w:val="00F6017C"/>
    <w:rsid w:val="00F60DD4"/>
    <w:rsid w:val="00F60E55"/>
    <w:rsid w:val="00F60F22"/>
    <w:rsid w:val="00F618CC"/>
    <w:rsid w:val="00F61B4E"/>
    <w:rsid w:val="00F61C58"/>
    <w:rsid w:val="00F63529"/>
    <w:rsid w:val="00F63DD9"/>
    <w:rsid w:val="00F6547D"/>
    <w:rsid w:val="00F67609"/>
    <w:rsid w:val="00F7048F"/>
    <w:rsid w:val="00F70C15"/>
    <w:rsid w:val="00F70D0E"/>
    <w:rsid w:val="00F71527"/>
    <w:rsid w:val="00F725EF"/>
    <w:rsid w:val="00F73787"/>
    <w:rsid w:val="00F739A9"/>
    <w:rsid w:val="00F73ACC"/>
    <w:rsid w:val="00F74FB9"/>
    <w:rsid w:val="00F7554D"/>
    <w:rsid w:val="00F75BE5"/>
    <w:rsid w:val="00F761B1"/>
    <w:rsid w:val="00F7762A"/>
    <w:rsid w:val="00F80D78"/>
    <w:rsid w:val="00F8157C"/>
    <w:rsid w:val="00F81E5B"/>
    <w:rsid w:val="00F843EB"/>
    <w:rsid w:val="00F8506D"/>
    <w:rsid w:val="00F8556F"/>
    <w:rsid w:val="00F85FA8"/>
    <w:rsid w:val="00F8657F"/>
    <w:rsid w:val="00F86815"/>
    <w:rsid w:val="00F86B59"/>
    <w:rsid w:val="00F86BA5"/>
    <w:rsid w:val="00F90F53"/>
    <w:rsid w:val="00F91278"/>
    <w:rsid w:val="00F91C36"/>
    <w:rsid w:val="00F926F1"/>
    <w:rsid w:val="00F927FF"/>
    <w:rsid w:val="00F92993"/>
    <w:rsid w:val="00F92EA8"/>
    <w:rsid w:val="00F93369"/>
    <w:rsid w:val="00F94D0C"/>
    <w:rsid w:val="00F95C68"/>
    <w:rsid w:val="00F95E65"/>
    <w:rsid w:val="00F963CF"/>
    <w:rsid w:val="00F9756F"/>
    <w:rsid w:val="00F97B9C"/>
    <w:rsid w:val="00FA035F"/>
    <w:rsid w:val="00FA0906"/>
    <w:rsid w:val="00FA10C5"/>
    <w:rsid w:val="00FA225D"/>
    <w:rsid w:val="00FA39D5"/>
    <w:rsid w:val="00FA3A2E"/>
    <w:rsid w:val="00FA42AD"/>
    <w:rsid w:val="00FA4651"/>
    <w:rsid w:val="00FA5AFF"/>
    <w:rsid w:val="00FA6989"/>
    <w:rsid w:val="00FB07D0"/>
    <w:rsid w:val="00FB0BF3"/>
    <w:rsid w:val="00FB15C2"/>
    <w:rsid w:val="00FB2D74"/>
    <w:rsid w:val="00FB307C"/>
    <w:rsid w:val="00FB45D0"/>
    <w:rsid w:val="00FB5507"/>
    <w:rsid w:val="00FB5BF0"/>
    <w:rsid w:val="00FB6031"/>
    <w:rsid w:val="00FB7BE3"/>
    <w:rsid w:val="00FC05B9"/>
    <w:rsid w:val="00FC077E"/>
    <w:rsid w:val="00FC0DA8"/>
    <w:rsid w:val="00FC1508"/>
    <w:rsid w:val="00FC1A14"/>
    <w:rsid w:val="00FC2C17"/>
    <w:rsid w:val="00FC33B5"/>
    <w:rsid w:val="00FC72E9"/>
    <w:rsid w:val="00FD17DB"/>
    <w:rsid w:val="00FD18A4"/>
    <w:rsid w:val="00FD1C8F"/>
    <w:rsid w:val="00FD2D1F"/>
    <w:rsid w:val="00FD38CD"/>
    <w:rsid w:val="00FD3A31"/>
    <w:rsid w:val="00FD3F6A"/>
    <w:rsid w:val="00FD3FEC"/>
    <w:rsid w:val="00FD4746"/>
    <w:rsid w:val="00FD5C28"/>
    <w:rsid w:val="00FD60AE"/>
    <w:rsid w:val="00FD61DD"/>
    <w:rsid w:val="00FD6C0E"/>
    <w:rsid w:val="00FD6DD0"/>
    <w:rsid w:val="00FD7857"/>
    <w:rsid w:val="00FE08A0"/>
    <w:rsid w:val="00FE1A3B"/>
    <w:rsid w:val="00FE1A3E"/>
    <w:rsid w:val="00FE2F51"/>
    <w:rsid w:val="00FE3619"/>
    <w:rsid w:val="00FE3DB8"/>
    <w:rsid w:val="00FE4024"/>
    <w:rsid w:val="00FE423B"/>
    <w:rsid w:val="00FE46B3"/>
    <w:rsid w:val="00FE48FC"/>
    <w:rsid w:val="00FE565F"/>
    <w:rsid w:val="00FE5E24"/>
    <w:rsid w:val="00FE640A"/>
    <w:rsid w:val="00FE7860"/>
    <w:rsid w:val="00FE7B9C"/>
    <w:rsid w:val="00FE7BFD"/>
    <w:rsid w:val="00FE7D59"/>
    <w:rsid w:val="00FE7FF6"/>
    <w:rsid w:val="00FF06C0"/>
    <w:rsid w:val="00FF0DE4"/>
    <w:rsid w:val="00FF1767"/>
    <w:rsid w:val="00FF20F3"/>
    <w:rsid w:val="00FF3E1E"/>
    <w:rsid w:val="00FF4908"/>
    <w:rsid w:val="00FF4B3D"/>
    <w:rsid w:val="00FF65A3"/>
    <w:rsid w:val="00FF65DC"/>
    <w:rsid w:val="00FF6799"/>
    <w:rsid w:val="00FF751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2C140EAF"/>
  <w15:docId w15:val="{8D4023CF-84DF-4DBF-BD5D-3D3FB3C9C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style>
  <w:style w:type="paragraph" w:styleId="Heading1">
    <w:name w:val="heading 1"/>
    <w:basedOn w:val="Normal"/>
    <w:next w:val="Normal"/>
    <w:link w:val="Heading1Char"/>
    <w:uiPriority w:val="99"/>
    <w:qFormat/>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locked/>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color w:val="365F91"/>
      <w:sz w:val="28"/>
      <w:szCs w:val="28"/>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paragraph" w:styleId="TOC1">
    <w:name w:val="toc 1"/>
    <w:basedOn w:val="Normal"/>
    <w:next w:val="Normal"/>
    <w:autoRedefine/>
    <w:uiPriority w:val="99"/>
    <w:pPr>
      <w:spacing w:after="100"/>
    </w:pPr>
  </w:style>
  <w:style w:type="character" w:styleId="Hyperlink">
    <w:name w:val="Hyperlink"/>
    <w:basedOn w:val="DefaultParagraphFont"/>
    <w:uiPriority w:val="99"/>
    <w:rPr>
      <w:rFonts w:cs="Times New Roman"/>
      <w:color w:val="0000FF"/>
      <w:u w:val="single"/>
    </w:rPr>
  </w:style>
  <w:style w:type="table" w:styleId="TableGrid">
    <w:name w:val="Table Grid"/>
    <w:basedOn w:val="TableNormal"/>
    <w:uiPriority w:val="39"/>
    <w:locked/>
    <w:pPr>
      <w:spacing w:after="200" w:line="276" w:lineRule="auto"/>
    </w:pPr>
    <w:rPr>
      <w:rFonts w:eastAsia="Times New Roman"/>
      <w:sz w:val="20"/>
      <w:szCs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99"/>
    <w:qFormat/>
    <w:locked/>
    <w:pPr>
      <w:spacing w:after="0" w:line="240" w:lineRule="auto"/>
    </w:pPr>
    <w:rPr>
      <w:rFonts w:ascii="Times New Roman" w:hAnsi="Times New Roman"/>
      <w:b/>
      <w:bCs/>
      <w:sz w:val="20"/>
      <w:szCs w:val="20"/>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rPr>
  </w:style>
  <w:style w:type="character" w:styleId="PageNumber">
    <w:name w:val="page number"/>
    <w:basedOn w:val="DefaultParagraphFont"/>
    <w:uiPriority w:val="99"/>
    <w:rPr>
      <w:rFonts w:cs="Times New Roman"/>
    </w:rPr>
  </w:style>
  <w:style w:type="paragraph" w:styleId="TOC2">
    <w:name w:val="toc 2"/>
    <w:basedOn w:val="Normal"/>
    <w:next w:val="Normal"/>
    <w:autoRedefine/>
    <w:uiPriority w:val="99"/>
    <w:semiHidden/>
    <w:locked/>
    <w:pPr>
      <w:ind w:left="220"/>
    </w:p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imes New Roman" w:hAnsi="Times New Roman" w:cs="Times New Roman"/>
      <w:sz w:val="2"/>
    </w:rPr>
  </w:style>
  <w:style w:type="paragraph" w:styleId="PlainText">
    <w:name w:val="Plain Text"/>
    <w:basedOn w:val="Normal"/>
    <w:link w:val="PlainTextChar"/>
    <w:uiPriority w:val="99"/>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locked/>
    <w:rPr>
      <w:rFonts w:ascii="Consolas" w:hAnsi="Consolas" w:cs="Times New Roman"/>
      <w:sz w:val="21"/>
      <w:szCs w:val="21"/>
      <w:lang w:val="en-US" w:eastAsia="en-US" w:bidi="ar-SA"/>
    </w:rPr>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uiPriority w:val="99"/>
    <w:pPr>
      <w:spacing w:after="0" w:line="240" w:lineRule="auto"/>
      <w:ind w:right="432"/>
    </w:pPr>
    <w:rPr>
      <w:sz w:val="20"/>
      <w:szCs w:val="20"/>
    </w:rPr>
  </w:style>
  <w:style w:type="character" w:customStyle="1" w:styleId="CommentTextChar">
    <w:name w:val="Comment Text Char"/>
    <w:basedOn w:val="DefaultParagraphFont"/>
    <w:link w:val="CommentText"/>
    <w:uiPriority w:val="99"/>
    <w:locked/>
    <w:rPr>
      <w:rFonts w:ascii="Calibri" w:hAnsi="Calibri" w:cs="Times New Roman"/>
      <w:lang w:val="en-US" w:eastAsia="en-US" w:bidi="ar-SA"/>
    </w:rPr>
  </w:style>
  <w:style w:type="paragraph" w:styleId="NoSpacing">
    <w:name w:val="No Spacing"/>
    <w:link w:val="NoSpacingChar"/>
    <w:uiPriority w:val="99"/>
    <w:qFormat/>
    <w:pPr>
      <w:jc w:val="both"/>
    </w:pPr>
  </w:style>
  <w:style w:type="character" w:customStyle="1" w:styleId="NoSpacingChar">
    <w:name w:val="No Spacing Char"/>
    <w:basedOn w:val="DefaultParagraphFont"/>
    <w:link w:val="NoSpacing"/>
    <w:uiPriority w:val="99"/>
    <w:locked/>
    <w:rPr>
      <w:rFonts w:cs="Times New Roman"/>
      <w:sz w:val="22"/>
      <w:szCs w:val="22"/>
      <w:lang w:val="en-US" w:eastAsia="en-US" w:bidi="ar-SA"/>
    </w:rPr>
  </w:style>
  <w:style w:type="character" w:styleId="SubtleEmphasis">
    <w:name w:val="Subtle Emphasis"/>
    <w:basedOn w:val="DefaultParagraphFont"/>
    <w:uiPriority w:val="19"/>
    <w:qFormat/>
    <w:rPr>
      <w:i/>
      <w:iCs/>
      <w:color w:val="808080" w:themeColor="text1" w:themeTint="7F"/>
    </w:rPr>
  </w:style>
  <w:style w:type="paragraph" w:styleId="CommentSubject">
    <w:name w:val="annotation subject"/>
    <w:basedOn w:val="CommentText"/>
    <w:next w:val="CommentText"/>
    <w:link w:val="CommentSubjectChar"/>
    <w:uiPriority w:val="99"/>
    <w:semiHidden/>
    <w:unhideWhenUsed/>
    <w:pPr>
      <w:spacing w:after="200"/>
      <w:ind w:right="0"/>
    </w:pPr>
    <w:rPr>
      <w:b/>
      <w:bCs/>
    </w:rPr>
  </w:style>
  <w:style w:type="character" w:customStyle="1" w:styleId="CommentSubjectChar">
    <w:name w:val="Comment Subject Char"/>
    <w:basedOn w:val="CommentTextChar"/>
    <w:link w:val="CommentSubject"/>
    <w:uiPriority w:val="99"/>
    <w:semiHidden/>
    <w:rPr>
      <w:rFonts w:ascii="Calibri" w:hAnsi="Calibri" w:cs="Times New Roman"/>
      <w:b/>
      <w:bCs/>
      <w:sz w:val="20"/>
      <w:szCs w:val="20"/>
      <w:lang w:val="en-US" w:eastAsia="en-US" w:bidi="ar-SA"/>
    </w:rPr>
  </w:style>
  <w:style w:type="paragraph" w:styleId="Revision">
    <w:name w:val="Revision"/>
    <w:hidden/>
    <w:uiPriority w:val="99"/>
    <w:semiHidden/>
    <w:rsid w:val="0009466E"/>
  </w:style>
  <w:style w:type="paragraph" w:styleId="ListParagraph">
    <w:name w:val="List Paragraph"/>
    <w:basedOn w:val="Normal"/>
    <w:uiPriority w:val="34"/>
    <w:qFormat/>
    <w:rsid w:val="003D5900"/>
    <w:pPr>
      <w:spacing w:after="0" w:line="240" w:lineRule="auto"/>
      <w:ind w:left="720"/>
    </w:pPr>
    <w:rPr>
      <w:rFonts w:asciiTheme="minorHAnsi" w:eastAsiaTheme="minorHAnsi" w:hAnsiTheme="minorHAnsi" w:cstheme="minorBidi"/>
      <w:kern w:val="2"/>
      <w14:ligatures w14:val="standardContextual"/>
    </w:rPr>
  </w:style>
  <w:style w:type="paragraph" w:styleId="NormalWeb">
    <w:name w:val="Normal (Web)"/>
    <w:basedOn w:val="Normal"/>
    <w:uiPriority w:val="99"/>
    <w:semiHidden/>
    <w:unhideWhenUsed/>
    <w:rsid w:val="00355CF4"/>
    <w:pPr>
      <w:spacing w:before="100" w:beforeAutospacing="1" w:after="100" w:afterAutospacing="1" w:line="240" w:lineRule="auto"/>
    </w:pPr>
    <w:rPr>
      <w:rFonts w:ascii="Times New Roman" w:eastAsia="Times New Roman" w:hAnsi="Times New Roman"/>
      <w:sz w:val="24"/>
      <w:szCs w:val="24"/>
    </w:rPr>
  </w:style>
  <w:style w:type="paragraph" w:customStyle="1" w:styleId="Default">
    <w:name w:val="Default"/>
    <w:rsid w:val="00A66ACB"/>
    <w:pPr>
      <w:autoSpaceDE w:val="0"/>
      <w:autoSpaceDN w:val="0"/>
      <w:adjustRightInd w:val="0"/>
    </w:pPr>
    <w:rPr>
      <w:rFonts w:ascii="Open Sans" w:hAnsi="Open Sans" w:cs="Open San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956462">
      <w:bodyDiv w:val="1"/>
      <w:marLeft w:val="0"/>
      <w:marRight w:val="0"/>
      <w:marTop w:val="0"/>
      <w:marBottom w:val="0"/>
      <w:divBdr>
        <w:top w:val="none" w:sz="0" w:space="0" w:color="auto"/>
        <w:left w:val="none" w:sz="0" w:space="0" w:color="auto"/>
        <w:bottom w:val="none" w:sz="0" w:space="0" w:color="auto"/>
        <w:right w:val="none" w:sz="0" w:space="0" w:color="auto"/>
      </w:divBdr>
    </w:div>
    <w:div w:id="1310525101">
      <w:bodyDiv w:val="1"/>
      <w:marLeft w:val="0"/>
      <w:marRight w:val="0"/>
      <w:marTop w:val="0"/>
      <w:marBottom w:val="0"/>
      <w:divBdr>
        <w:top w:val="none" w:sz="0" w:space="0" w:color="auto"/>
        <w:left w:val="none" w:sz="0" w:space="0" w:color="auto"/>
        <w:bottom w:val="none" w:sz="0" w:space="0" w:color="auto"/>
        <w:right w:val="none" w:sz="0" w:space="0" w:color="auto"/>
      </w:divBdr>
    </w:div>
    <w:div w:id="1641039179">
      <w:bodyDiv w:val="1"/>
      <w:marLeft w:val="0"/>
      <w:marRight w:val="0"/>
      <w:marTop w:val="0"/>
      <w:marBottom w:val="0"/>
      <w:divBdr>
        <w:top w:val="none" w:sz="0" w:space="0" w:color="auto"/>
        <w:left w:val="none" w:sz="0" w:space="0" w:color="auto"/>
        <w:bottom w:val="none" w:sz="0" w:space="0" w:color="auto"/>
        <w:right w:val="none" w:sz="0" w:space="0" w:color="auto"/>
      </w:divBdr>
    </w:div>
    <w:div w:id="1914776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fth Edition"/>
</file>

<file path=customXml/itemProps1.xml><?xml version="1.0" encoding="utf-8"?>
<ds:datastoreItem xmlns:ds="http://schemas.openxmlformats.org/officeDocument/2006/customXml" ds:itemID="{96082A88-E15C-4317-84DB-84C422807167}">
  <ds:schemaRefs>
    <ds:schemaRef ds:uri="http://schemas.openxmlformats.org/officeDocument/2006/bibliography"/>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schemaLibrary/2006/main"/>
    <ds:schemaRef ds:uri="http://schemas.openxmlformats.org/markup-compatibility/2006"/>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Normal.dotm</Template>
  <TotalTime>580</TotalTime>
  <Pages>30</Pages>
  <Words>7577</Words>
  <Characters>46097</Characters>
  <Application>Microsoft Office Word</Application>
  <DocSecurity>0</DocSecurity>
  <Lines>384</Lines>
  <Paragraphs>107</Paragraphs>
  <ScaleCrop>false</ScaleCrop>
  <HeadingPairs>
    <vt:vector size="2" baseType="variant">
      <vt:variant>
        <vt:lpstr>Title</vt:lpstr>
      </vt:variant>
      <vt:variant>
        <vt:i4>1</vt:i4>
      </vt:variant>
    </vt:vector>
  </HeadingPairs>
  <TitlesOfParts>
    <vt:vector size="1" baseType="lpstr">
      <vt:lpstr>Here is some text</vt:lpstr>
    </vt:vector>
  </TitlesOfParts>
  <Company>Microsoft</Company>
  <LinksUpToDate>false</LinksUpToDate>
  <CharactersWithSpaces>53567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Here is some text</dc:title>
  <dc:creator>Rocio</dc:creator>
  <cp:lastModifiedBy>Short, Cindy</cp:lastModifiedBy>
  <cp:revision>140</cp:revision>
  <cp:lastPrinted>2024-11-06T15:40:00Z</cp:lastPrinted>
  <dcterms:created xsi:type="dcterms:W3CDTF">2024-11-20T18:47:00Z</dcterms:created>
  <dcterms:modified xsi:type="dcterms:W3CDTF">2024-12-04T17:24:00Z</dcterms:modified>
</cp:coreProperties>
</file>